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BBP → MIDI Reverse Engineering</w:t>
        <w:br/>
        <w:t>Technical Findings &amp; Evidence Ledger</w:t>
      </w:r>
    </w:p>
    <w:p>
      <w:pPr>
        <w:jc w:val="center"/>
      </w:pPr>
      <w:r>
        <w:rPr>
          <w:i/>
          <w:sz w:val="22"/>
        </w:rPr>
        <w:t>Working Report v2 — deliberately technical, evidence-ranked, and intended for future creator review</w:t>
      </w:r>
    </w:p>
    <w:p>
      <w:r>
        <w:t>Purpose of this document: to record the engineering evidence, deductions, failed hypotheses, implementation history, and unresolved questions behind the construction of a faithful BBP→MIDI converter. This is not a claim that native BBP piano/guitar semantics are fully solved. It is a technical audit trail intended to make subsequent work reproducible and to give the creator of Degausser enough concrete material to validate or correct individual claims.</w:t>
      </w:r>
    </w:p>
    <w:tbl>
      <w:tblPr>
        <w:tblStyle w:val="TableGrid"/>
        <w:tblW w:type="auto" w:w="0"/>
        <w:jc w:val="center"/>
        <w:tblLook w:firstColumn="1" w:firstRow="1" w:lastColumn="0" w:lastRow="0" w:noHBand="0" w:noVBand="1" w:val="04A0"/>
      </w:tblPr>
      <w:tblGrid>
        <w:gridCol w:w="3389"/>
        <w:gridCol w:w="3389"/>
        <w:gridCol w:w="3389"/>
      </w:tblGrid>
      <w:tr>
        <w:tc>
          <w:tcPr>
            <w:tcW w:type="dxa" w:w="3389"/>
            <w:vAlign w:val="center"/>
            <w:shd w:fill="D9E2F3"/>
          </w:tcPr>
          <w:p>
            <w:pPr>
              <w:pStyle w:val="TableText"/>
            </w:pPr>
            <w:r/>
            <w:r>
              <w:rPr>
                <w:b/>
              </w:rPr>
              <w:t>Evidence class</w:t>
            </w:r>
          </w:p>
        </w:tc>
        <w:tc>
          <w:tcPr>
            <w:tcW w:type="dxa" w:w="3389"/>
            <w:vAlign w:val="center"/>
            <w:shd w:fill="D9E2F3"/>
          </w:tcPr>
          <w:p>
            <w:pPr>
              <w:pStyle w:val="TableText"/>
            </w:pPr>
            <w:r/>
            <w:r>
              <w:rPr>
                <w:b/>
              </w:rPr>
              <w:t>Definition</w:t>
            </w:r>
          </w:p>
        </w:tc>
        <w:tc>
          <w:tcPr>
            <w:tcW w:type="dxa" w:w="3389"/>
            <w:vAlign w:val="center"/>
            <w:shd w:fill="D9E2F3"/>
          </w:tcPr>
          <w:p>
            <w:pPr>
              <w:pStyle w:val="TableText"/>
            </w:pPr>
            <w:r/>
            <w:r>
              <w:rPr>
                <w:b/>
              </w:rPr>
              <w:t>Allowed use</w:t>
            </w:r>
          </w:p>
        </w:tc>
      </w:tr>
      <w:tr>
        <w:tc>
          <w:tcPr>
            <w:tcW w:type="dxa" w:w="3389"/>
            <w:vAlign w:val="center"/>
          </w:tcPr>
          <w:p>
            <w:pPr>
              <w:pStyle w:val="TableText"/>
            </w:pPr>
            <w:r/>
            <w:r>
              <w:rPr>
                <w:b w:val="0"/>
              </w:rPr>
              <w:t>CONFIRMED</w:t>
            </w:r>
          </w:p>
        </w:tc>
        <w:tc>
          <w:tcPr>
            <w:tcW w:type="dxa" w:w="3389"/>
            <w:vAlign w:val="center"/>
          </w:tcPr>
          <w:p>
            <w:pPr>
              <w:pStyle w:val="TableText"/>
            </w:pPr>
            <w:r/>
            <w:r>
              <w:rPr>
                <w:b w:val="0"/>
              </w:rPr>
              <w:t>Directly observed in a supplied artifact, reproducible from source/IL, or independently corroborated by original-hardware listening.</w:t>
            </w:r>
          </w:p>
        </w:tc>
        <w:tc>
          <w:tcPr>
            <w:tcW w:type="dxa" w:w="3389"/>
            <w:vAlign w:val="center"/>
          </w:tcPr>
          <w:p>
            <w:pPr>
              <w:pStyle w:val="TableText"/>
            </w:pPr>
            <w:r/>
            <w:r>
              <w:rPr>
                <w:b w:val="0"/>
              </w:rPr>
              <w:t>May be implemented as a stable rule, with provenance recorded.</w:t>
            </w:r>
          </w:p>
        </w:tc>
      </w:tr>
      <w:tr>
        <w:tc>
          <w:tcPr>
            <w:tcW w:type="dxa" w:w="3389"/>
            <w:vAlign w:val="center"/>
          </w:tcPr>
          <w:p>
            <w:pPr>
              <w:pStyle w:val="TableText"/>
            </w:pPr>
            <w:r/>
            <w:r>
              <w:rPr>
                <w:b w:val="0"/>
              </w:rPr>
              <w:t>STRONGLY SUPPORTED</w:t>
            </w:r>
          </w:p>
        </w:tc>
        <w:tc>
          <w:tcPr>
            <w:tcW w:type="dxa" w:w="3389"/>
            <w:vAlign w:val="center"/>
          </w:tcPr>
          <w:p>
            <w:pPr>
              <w:pStyle w:val="TableText"/>
            </w:pPr>
            <w:r/>
            <w:r>
              <w:rPr>
                <w:b w:val="0"/>
              </w:rPr>
              <w:t>Multiple independent sources agree, but no authoritative native-playback implementation has been recovered.</w:t>
            </w:r>
          </w:p>
        </w:tc>
        <w:tc>
          <w:tcPr>
            <w:tcW w:type="dxa" w:w="3389"/>
            <w:vAlign w:val="center"/>
          </w:tcPr>
          <w:p>
            <w:pPr>
              <w:pStyle w:val="TableText"/>
            </w:pPr>
            <w:r/>
            <w:r>
              <w:rPr>
                <w:b w:val="0"/>
              </w:rPr>
              <w:t>Suitable for focused experiments; do not label as definitive.</w:t>
            </w:r>
          </w:p>
        </w:tc>
      </w:tr>
      <w:tr>
        <w:tc>
          <w:tcPr>
            <w:tcW w:type="dxa" w:w="3389"/>
            <w:vAlign w:val="center"/>
          </w:tcPr>
          <w:p>
            <w:pPr>
              <w:pStyle w:val="TableText"/>
            </w:pPr>
            <w:r/>
            <w:r>
              <w:rPr>
                <w:b w:val="0"/>
              </w:rPr>
              <w:t>HYPOTHESIS</w:t>
            </w:r>
          </w:p>
        </w:tc>
        <w:tc>
          <w:tcPr>
            <w:tcW w:type="dxa" w:w="3389"/>
            <w:vAlign w:val="center"/>
          </w:tcPr>
          <w:p>
            <w:pPr>
              <w:pStyle w:val="TableText"/>
            </w:pPr>
            <w:r/>
            <w:r>
              <w:rPr>
                <w:b w:val="0"/>
              </w:rPr>
              <w:t>Plausible interpretation with incomplete evidence.</w:t>
            </w:r>
          </w:p>
        </w:tc>
        <w:tc>
          <w:tcPr>
            <w:tcW w:type="dxa" w:w="3389"/>
            <w:vAlign w:val="center"/>
          </w:tcPr>
          <w:p>
            <w:pPr>
              <w:pStyle w:val="TableText"/>
            </w:pPr>
            <w:r/>
            <w:r>
              <w:rPr>
                <w:b w:val="0"/>
              </w:rPr>
              <w:t>Diagnostic experiments only; must not silently enter a release.</w:t>
            </w:r>
          </w:p>
        </w:tc>
      </w:tr>
      <w:tr>
        <w:tc>
          <w:tcPr>
            <w:tcW w:type="dxa" w:w="3389"/>
            <w:vAlign w:val="center"/>
          </w:tcPr>
          <w:p>
            <w:pPr>
              <w:pStyle w:val="TableText"/>
            </w:pPr>
            <w:r/>
            <w:r>
              <w:rPr>
                <w:b w:val="0"/>
              </w:rPr>
              <w:t>REJECTED</w:t>
            </w:r>
          </w:p>
        </w:tc>
        <w:tc>
          <w:tcPr>
            <w:tcW w:type="dxa" w:w="3389"/>
            <w:vAlign w:val="center"/>
          </w:tcPr>
          <w:p>
            <w:pPr>
              <w:pStyle w:val="TableText"/>
            </w:pPr>
            <w:r/>
            <w:r>
              <w:rPr>
                <w:b w:val="0"/>
              </w:rPr>
              <w:t>Previously used interpretation subsequently shown to be unsupported or incorrect.</w:t>
            </w:r>
          </w:p>
        </w:tc>
        <w:tc>
          <w:tcPr>
            <w:tcW w:type="dxa" w:w="3389"/>
            <w:vAlign w:val="center"/>
          </w:tcPr>
          <w:p>
            <w:pPr>
              <w:pStyle w:val="TableText"/>
            </w:pPr>
            <w:r/>
            <w:r>
              <w:rPr>
                <w:b w:val="0"/>
              </w:rPr>
              <w:t>Closed unless new evidence directly reopens it.</w:t>
            </w:r>
          </w:p>
        </w:tc>
      </w:tr>
    </w:tbl>
    <w:p/>
    <w:p>
      <w:r>
        <w:t>Document map: §1 objective; §2 evidence sources; §3 artifact corpus; §4 BBP binary/data model; §5 event timing; §6 drums; §7 piano; §8 guitar; §9 dynamics; §10 converter history; §11 audit methodology; §12 validation protocol; §13 creator-review packet; appendices A–D.</w:t>
      </w:r>
    </w:p>
    <w:p>
      <w:r>
        <w:br w:type="page"/>
      </w:r>
    </w:p>
    <w:p>
      <w:pPr>
        <w:pStyle w:val="Heading1"/>
      </w:pPr>
      <w:r>
        <w:t>1. Project objective</w:t>
      </w:r>
    </w:p>
    <w:p>
      <w:r>
        <w:t>The actual objective is not “produce syntactically valid MIDI” and not “reproduce the MIDI files previously generated by the converter.” The objective is: decode the musical intent encoded in arbitrary Daigasso Band Brothers / BBP song data and render it as a listenable MIDI performance with the intended notes, timing, attacks, instruments, percussion, voicings, and dynamics as faithfully as the available evidence permits.</w:t>
      </w:r>
    </w:p>
    <w:p>
      <w:r>
        <w:t>This distinction became critical when user-supplied MIDIs were initially treated as “references.” They are not independent references. They are historical outputs produced by the converter version under test. A converter can therefore reproduce its own historical output byte-for-byte while still being musically wrong. The drums case proved this experimentally.</w:t>
      </w:r>
    </w:p>
    <w:p>
      <w:pPr>
        <w:pStyle w:val="Heading1"/>
      </w:pPr>
      <w:r>
        <w:t>2. Evidence sources and authority hierarchy</w:t>
      </w:r>
    </w:p>
    <w:tbl>
      <w:tblPr>
        <w:tblStyle w:val="TableGrid"/>
        <w:tblW w:type="auto" w:w="0"/>
        <w:jc w:val="center"/>
        <w:tblLook w:firstColumn="1" w:firstRow="1" w:lastColumn="0" w:lastRow="0" w:noHBand="0" w:noVBand="1" w:val="04A0"/>
      </w:tblPr>
      <w:tblGrid>
        <w:gridCol w:w="3389"/>
        <w:gridCol w:w="3389"/>
        <w:gridCol w:w="3389"/>
      </w:tblGrid>
      <w:tr>
        <w:tc>
          <w:tcPr>
            <w:tcW w:type="dxa" w:w="3389"/>
            <w:vAlign w:val="center"/>
            <w:shd w:fill="D9E2F3"/>
          </w:tcPr>
          <w:p>
            <w:pPr>
              <w:pStyle w:val="TableText"/>
            </w:pPr>
            <w:r/>
            <w:r>
              <w:rPr>
                <w:b/>
              </w:rPr>
              <w:t>Source</w:t>
            </w:r>
          </w:p>
        </w:tc>
        <w:tc>
          <w:tcPr>
            <w:tcW w:type="dxa" w:w="3389"/>
            <w:vAlign w:val="center"/>
            <w:shd w:fill="D9E2F3"/>
          </w:tcPr>
          <w:p>
            <w:pPr>
              <w:pStyle w:val="TableText"/>
            </w:pPr>
            <w:r/>
            <w:r>
              <w:rPr>
                <w:b/>
              </w:rPr>
              <w:t>Nature</w:t>
            </w:r>
          </w:p>
        </w:tc>
        <w:tc>
          <w:tcPr>
            <w:tcW w:type="dxa" w:w="3389"/>
            <w:vAlign w:val="center"/>
            <w:shd w:fill="D9E2F3"/>
          </w:tcPr>
          <w:p>
            <w:pPr>
              <w:pStyle w:val="TableText"/>
            </w:pPr>
            <w:r/>
            <w:r>
              <w:rPr>
                <w:b/>
              </w:rPr>
              <w:t>Authority for native BBP playback</w:t>
            </w:r>
          </w:p>
        </w:tc>
      </w:tr>
      <w:tr>
        <w:tc>
          <w:tcPr>
            <w:tcW w:type="dxa" w:w="3389"/>
            <w:vAlign w:val="center"/>
          </w:tcPr>
          <w:p>
            <w:pPr>
              <w:pStyle w:val="TableText"/>
            </w:pPr>
            <w:r/>
            <w:r>
              <w:rPr>
                <w:b w:val="0"/>
              </w:rPr>
              <w:t>User-supplied BBP files</w:t>
            </w:r>
          </w:p>
        </w:tc>
        <w:tc>
          <w:tcPr>
            <w:tcW w:type="dxa" w:w="3389"/>
            <w:vAlign w:val="center"/>
          </w:tcPr>
          <w:p>
            <w:pPr>
              <w:pStyle w:val="TableText"/>
            </w:pPr>
            <w:r/>
            <w:r>
              <w:rPr>
                <w:b w:val="0"/>
              </w:rPr>
              <w:t>Primary data artifacts; raw encoded song data.</w:t>
            </w:r>
          </w:p>
        </w:tc>
        <w:tc>
          <w:tcPr>
            <w:tcW w:type="dxa" w:w="3389"/>
            <w:vAlign w:val="center"/>
          </w:tcPr>
          <w:p>
            <w:pPr>
              <w:pStyle w:val="TableText"/>
            </w:pPr>
            <w:r/>
            <w:r>
              <w:rPr>
                <w:b w:val="0"/>
              </w:rPr>
              <w:t>Highest for what individual files actually contain.</w:t>
            </w:r>
          </w:p>
        </w:tc>
      </w:tr>
      <w:tr>
        <w:tc>
          <w:tcPr>
            <w:tcW w:type="dxa" w:w="3389"/>
            <w:vAlign w:val="center"/>
          </w:tcPr>
          <w:p>
            <w:pPr>
              <w:pStyle w:val="TableText"/>
            </w:pPr>
            <w:r/>
            <w:r>
              <w:rPr>
                <w:b w:val="0"/>
              </w:rPr>
              <w:t>Creator statements</w:t>
            </w:r>
          </w:p>
        </w:tc>
        <w:tc>
          <w:tcPr>
            <w:tcW w:type="dxa" w:w="3389"/>
            <w:vAlign w:val="center"/>
          </w:tcPr>
          <w:p>
            <w:pPr>
              <w:pStyle w:val="TableText"/>
            </w:pPr>
            <w:r/>
            <w:r>
              <w:rPr>
                <w:b w:val="0"/>
              </w:rPr>
              <w:t>Human expert explanation of Degausser and known limitations.</w:t>
            </w:r>
          </w:p>
        </w:tc>
        <w:tc>
          <w:tcPr>
            <w:tcW w:type="dxa" w:w="3389"/>
            <w:vAlign w:val="center"/>
          </w:tcPr>
          <w:p>
            <w:pPr>
              <w:pStyle w:val="TableText"/>
            </w:pPr>
            <w:r/>
            <w:r>
              <w:rPr>
                <w:b w:val="0"/>
              </w:rPr>
              <w:t>Very high semantic authority; not executable proof.</w:t>
            </w:r>
          </w:p>
        </w:tc>
      </w:tr>
      <w:tr>
        <w:tc>
          <w:tcPr>
            <w:tcW w:type="dxa" w:w="3389"/>
            <w:vAlign w:val="center"/>
          </w:tcPr>
          <w:p>
            <w:pPr>
              <w:pStyle w:val="TableText"/>
            </w:pPr>
            <w:r/>
            <w:r>
              <w:rPr>
                <w:b w:val="0"/>
              </w:rPr>
              <w:t>Creator’s current BBP2MIDI web app</w:t>
            </w:r>
          </w:p>
        </w:tc>
        <w:tc>
          <w:tcPr>
            <w:tcW w:type="dxa" w:w="3389"/>
            <w:vAlign w:val="center"/>
          </w:tcPr>
          <w:p>
            <w:pPr>
              <w:pStyle w:val="TableText"/>
            </w:pPr>
            <w:r/>
            <w:r>
              <w:rPr>
                <w:b w:val="0"/>
              </w:rPr>
              <w:t>Current behavior/forensics UI; client-side player/exporter.</w:t>
            </w:r>
          </w:p>
        </w:tc>
        <w:tc>
          <w:tcPr>
            <w:tcW w:type="dxa" w:w="3389"/>
            <w:vAlign w:val="center"/>
          </w:tcPr>
          <w:p>
            <w:pPr>
              <w:pStyle w:val="TableText"/>
            </w:pPr>
            <w:r/>
            <w:r>
              <w:rPr>
                <w:b w:val="0"/>
              </w:rPr>
              <w:t>Potentially highest available for current intended behavior, but source JS has not been recovered in this environment.</w:t>
            </w:r>
          </w:p>
        </w:tc>
      </w:tr>
      <w:tr>
        <w:tc>
          <w:tcPr>
            <w:tcW w:type="dxa" w:w="3389"/>
            <w:vAlign w:val="center"/>
          </w:tcPr>
          <w:p>
            <w:pPr>
              <w:pStyle w:val="TableText"/>
            </w:pPr>
            <w:r/>
            <w:r>
              <w:rPr>
                <w:b w:val="0"/>
              </w:rPr>
              <w:t>BDX2BBP 1.0.2 executable</w:t>
            </w:r>
          </w:p>
        </w:tc>
        <w:tc>
          <w:tcPr>
            <w:tcW w:type="dxa" w:w="3389"/>
            <w:vAlign w:val="center"/>
          </w:tcPr>
          <w:p>
            <w:pPr>
              <w:pStyle w:val="TableText"/>
            </w:pPr>
            <w:r/>
            <w:r>
              <w:rPr>
                <w:b w:val="0"/>
              </w:rPr>
              <w:t>User-supplied .NET binary; includes remapping/conversion routines.</w:t>
            </w:r>
          </w:p>
        </w:tc>
        <w:tc>
          <w:tcPr>
            <w:tcW w:type="dxa" w:w="3389"/>
            <w:vAlign w:val="center"/>
          </w:tcPr>
          <w:p>
            <w:pPr>
              <w:pStyle w:val="TableText"/>
            </w:pPr>
            <w:r/>
            <w:r>
              <w:rPr>
                <w:b w:val="0"/>
              </w:rPr>
              <w:t>High for BDX→BBP representation mechanics; not automatically authoritative for native BBP playback.</w:t>
            </w:r>
          </w:p>
        </w:tc>
      </w:tr>
      <w:tr>
        <w:tc>
          <w:tcPr>
            <w:tcW w:type="dxa" w:w="3389"/>
            <w:vAlign w:val="center"/>
          </w:tcPr>
          <w:p>
            <w:pPr>
              <w:pStyle w:val="TableText"/>
            </w:pPr>
            <w:r/>
            <w:r>
              <w:rPr>
                <w:b w:val="0"/>
              </w:rPr>
              <w:t>Published Degausser source</w:t>
            </w:r>
          </w:p>
        </w:tc>
        <w:tc>
          <w:tcPr>
            <w:tcW w:type="dxa" w:w="3389"/>
            <w:vAlign w:val="center"/>
          </w:tcPr>
          <w:p>
            <w:pPr>
              <w:pStyle w:val="TableText"/>
            </w:pPr>
            <w:r/>
            <w:r>
              <w:rPr>
                <w:b w:val="0"/>
              </w:rPr>
              <w:t>Readable structural specification and older playback implementation.</w:t>
            </w:r>
          </w:p>
        </w:tc>
        <w:tc>
          <w:tcPr>
            <w:tcW w:type="dxa" w:w="3389"/>
            <w:vAlign w:val="center"/>
          </w:tcPr>
          <w:p>
            <w:pPr>
              <w:pStyle w:val="TableText"/>
            </w:pPr>
            <w:r/>
            <w:r>
              <w:rPr>
                <w:b w:val="0"/>
              </w:rPr>
              <w:t>High for file structures/timing; explicitly incomplete for piano/guitar playback.</w:t>
            </w:r>
          </w:p>
        </w:tc>
      </w:tr>
      <w:tr>
        <w:tc>
          <w:tcPr>
            <w:tcW w:type="dxa" w:w="3389"/>
            <w:vAlign w:val="center"/>
          </w:tcPr>
          <w:p>
            <w:pPr>
              <w:pStyle w:val="TableText"/>
            </w:pPr>
            <w:r/>
            <w:r>
              <w:rPr>
                <w:b w:val="0"/>
              </w:rPr>
              <w:t>Generated MIDI files supplied with BBPs</w:t>
            </w:r>
          </w:p>
        </w:tc>
        <w:tc>
          <w:tcPr>
            <w:tcW w:type="dxa" w:w="3389"/>
            <w:vAlign w:val="center"/>
          </w:tcPr>
          <w:p>
            <w:pPr>
              <w:pStyle w:val="TableText"/>
            </w:pPr>
            <w:r/>
            <w:r>
              <w:rPr>
                <w:b w:val="0"/>
              </w:rPr>
              <w:t>Historical converter outputs.</w:t>
            </w:r>
          </w:p>
        </w:tc>
        <w:tc>
          <w:tcPr>
            <w:tcW w:type="dxa" w:w="3389"/>
            <w:vAlign w:val="center"/>
          </w:tcPr>
          <w:p>
            <w:pPr>
              <w:pStyle w:val="TableText"/>
            </w:pPr>
            <w:r/>
            <w:r>
              <w:rPr>
                <w:b w:val="0"/>
              </w:rPr>
              <w:t>Useful for regression and change tracking; not proof of correctness.</w:t>
            </w:r>
          </w:p>
        </w:tc>
      </w:tr>
      <w:tr>
        <w:tc>
          <w:tcPr>
            <w:tcW w:type="dxa" w:w="3389"/>
            <w:vAlign w:val="center"/>
          </w:tcPr>
          <w:p>
            <w:pPr>
              <w:pStyle w:val="TableText"/>
            </w:pPr>
            <w:r/>
            <w:r>
              <w:rPr>
                <w:b w:val="0"/>
              </w:rPr>
              <w:t>Original hardware listening</w:t>
            </w:r>
          </w:p>
        </w:tc>
        <w:tc>
          <w:tcPr>
            <w:tcW w:type="dxa" w:w="3389"/>
            <w:vAlign w:val="center"/>
          </w:tcPr>
          <w:p>
            <w:pPr>
              <w:pStyle w:val="TableText"/>
            </w:pPr>
            <w:r/>
            <w:r>
              <w:rPr>
                <w:b w:val="0"/>
              </w:rPr>
              <w:t>External acoustic validation by user on Nintendo 2DS.</w:t>
            </w:r>
          </w:p>
        </w:tc>
        <w:tc>
          <w:tcPr>
            <w:tcW w:type="dxa" w:w="3389"/>
            <w:vAlign w:val="center"/>
          </w:tcPr>
          <w:p>
            <w:pPr>
              <w:pStyle w:val="TableText"/>
            </w:pPr>
            <w:r/>
            <w:r>
              <w:rPr>
                <w:b w:val="0"/>
              </w:rPr>
              <w:t>Highest available test for audible fidelity when no lossless hardware capture exists.</w:t>
            </w:r>
          </w:p>
        </w:tc>
      </w:tr>
    </w:tbl>
    <w:p/>
    <w:p>
      <w:r>
        <w:t>Authority rule used throughout this report: never promote a conversion-side behavior to a native playback rule merely because it produces plausible notes. The creator explicitly warned that the older Degausser work did not reproduce piano/guitar correctly; therefore BDX2BBP and old Degausser code are treated as structural evidence and clues, not unquestionable playback truth.</w:t>
      </w:r>
    </w:p>
    <w:p>
      <w:pPr>
        <w:pStyle w:val="Heading1"/>
      </w:pPr>
      <w:r>
        <w:t>3. Experimental corpus and test hygiene</w:t>
      </w:r>
    </w:p>
    <w:tbl>
      <w:tblPr>
        <w:tblStyle w:val="TableGrid"/>
        <w:tblW w:type="auto" w:w="0"/>
        <w:jc w:val="center"/>
        <w:tblLook w:firstColumn="1" w:firstRow="1" w:lastColumn="0" w:lastRow="0" w:noHBand="0" w:noVBand="1" w:val="04A0"/>
      </w:tblPr>
      <w:tblGrid>
        <w:gridCol w:w="3389"/>
        <w:gridCol w:w="3389"/>
        <w:gridCol w:w="3389"/>
      </w:tblGrid>
      <w:tr>
        <w:tc>
          <w:tcPr>
            <w:tcW w:type="dxa" w:w="3389"/>
            <w:vAlign w:val="center"/>
            <w:shd w:fill="D9E2F3"/>
          </w:tcPr>
          <w:p>
            <w:pPr>
              <w:pStyle w:val="TableText"/>
            </w:pPr>
            <w:r/>
            <w:r>
              <w:rPr>
                <w:b/>
              </w:rPr>
              <w:t>Corpus</w:t>
            </w:r>
          </w:p>
        </w:tc>
        <w:tc>
          <w:tcPr>
            <w:tcW w:type="dxa" w:w="3389"/>
            <w:vAlign w:val="center"/>
            <w:shd w:fill="D9E2F3"/>
          </w:tcPr>
          <w:p>
            <w:pPr>
              <w:pStyle w:val="TableText"/>
            </w:pPr>
            <w:r/>
            <w:r>
              <w:rPr>
                <w:b/>
              </w:rPr>
              <w:t>Contents</w:t>
            </w:r>
          </w:p>
        </w:tc>
        <w:tc>
          <w:tcPr>
            <w:tcW w:type="dxa" w:w="3389"/>
            <w:vAlign w:val="center"/>
            <w:shd w:fill="D9E2F3"/>
          </w:tcPr>
          <w:p>
            <w:pPr>
              <w:pStyle w:val="TableText"/>
            </w:pPr>
            <w:r/>
            <w:r>
              <w:rPr>
                <w:b/>
              </w:rPr>
              <w:t>Interpretation</w:t>
            </w:r>
          </w:p>
        </w:tc>
      </w:tr>
      <w:tr>
        <w:tc>
          <w:tcPr>
            <w:tcW w:type="dxa" w:w="3389"/>
            <w:vAlign w:val="center"/>
          </w:tcPr>
          <w:p>
            <w:pPr>
              <w:pStyle w:val="TableText"/>
            </w:pPr>
            <w:r/>
            <w:r>
              <w:rPr>
                <w:b w:val="0"/>
              </w:rPr>
              <w:t>BIG BATCH</w:t>
            </w:r>
          </w:p>
        </w:tc>
        <w:tc>
          <w:tcPr>
            <w:tcW w:type="dxa" w:w="3389"/>
            <w:vAlign w:val="center"/>
          </w:tcPr>
          <w:p>
            <w:pPr>
              <w:pStyle w:val="TableText"/>
            </w:pPr>
            <w:r/>
            <w:r>
              <w:rPr>
                <w:b w:val="0"/>
              </w:rPr>
              <w:t>41 BBPs; 40 accompanying MIDIs.</w:t>
            </w:r>
          </w:p>
        </w:tc>
        <w:tc>
          <w:tcPr>
            <w:tcW w:type="dxa" w:w="3389"/>
            <w:vAlign w:val="center"/>
          </w:tcPr>
          <w:p>
            <w:pPr>
              <w:pStyle w:val="TableText"/>
            </w:pPr>
            <w:r/>
            <w:r>
              <w:rPr>
                <w:b w:val="0"/>
              </w:rPr>
              <w:t>41 conversion cases; the 40 MIDIs are historical converter outputs.</w:t>
            </w:r>
          </w:p>
        </w:tc>
      </w:tr>
      <w:tr>
        <w:tc>
          <w:tcPr>
            <w:tcW w:type="dxa" w:w="3389"/>
            <w:vAlign w:val="center"/>
          </w:tcPr>
          <w:p>
            <w:pPr>
              <w:pStyle w:val="TableText"/>
            </w:pPr>
            <w:r/>
            <w:r>
              <w:rPr>
                <w:b w:val="0"/>
              </w:rPr>
              <w:t>v12 testing</w:t>
            </w:r>
          </w:p>
        </w:tc>
        <w:tc>
          <w:tcPr>
            <w:tcW w:type="dxa" w:w="3389"/>
            <w:vAlign w:val="center"/>
          </w:tcPr>
          <w:p>
            <w:pPr>
              <w:pStyle w:val="TableText"/>
            </w:pPr>
            <w:r/>
            <w:r>
              <w:rPr>
                <w:b w:val="0"/>
              </w:rPr>
              <w:t>3 BBPs; 3 accompanying MIDIs.</w:t>
            </w:r>
          </w:p>
        </w:tc>
        <w:tc>
          <w:tcPr>
            <w:tcW w:type="dxa" w:w="3389"/>
            <w:vAlign w:val="center"/>
          </w:tcPr>
          <w:p>
            <w:pPr>
              <w:pStyle w:val="TableText"/>
            </w:pPr>
            <w:r/>
            <w:r>
              <w:rPr>
                <w:b w:val="0"/>
              </w:rPr>
              <w:t>Three additional historical converter-output snapshots; useful as unseen input examples.</w:t>
            </w:r>
          </w:p>
        </w:tc>
      </w:tr>
      <w:tr>
        <w:tc>
          <w:tcPr>
            <w:tcW w:type="dxa" w:w="3389"/>
            <w:vAlign w:val="center"/>
          </w:tcPr>
          <w:p>
            <w:pPr>
              <w:pStyle w:val="TableText"/>
            </w:pPr>
            <w:r/>
            <w:r>
              <w:rPr>
                <w:b w:val="0"/>
              </w:rPr>
              <w:t>I CAN WAIT NO MORE pair</w:t>
            </w:r>
          </w:p>
        </w:tc>
        <w:tc>
          <w:tcPr>
            <w:tcW w:type="dxa" w:w="3389"/>
            <w:vAlign w:val="center"/>
          </w:tcPr>
          <w:p>
            <w:pPr>
              <w:pStyle w:val="TableText"/>
            </w:pPr>
            <w:r/>
            <w:r>
              <w:rPr>
                <w:b w:val="0"/>
              </w:rPr>
              <w:t>One BBP and the MIDI generated from it by the then-current converter.</w:t>
            </w:r>
          </w:p>
        </w:tc>
        <w:tc>
          <w:tcPr>
            <w:tcW w:type="dxa" w:w="3389"/>
            <w:vAlign w:val="center"/>
          </w:tcPr>
          <w:p>
            <w:pPr>
              <w:pStyle w:val="TableText"/>
            </w:pPr>
            <w:r/>
            <w:r>
              <w:rPr>
                <w:b w:val="0"/>
              </w:rPr>
              <w:t>Used for the drum failure investigation and as an actual hardware-listening test case.</w:t>
            </w:r>
          </w:p>
        </w:tc>
      </w:tr>
      <w:tr>
        <w:tc>
          <w:tcPr>
            <w:tcW w:type="dxa" w:w="3389"/>
            <w:vAlign w:val="center"/>
          </w:tcPr>
          <w:p>
            <w:pPr>
              <w:pStyle w:val="TableText"/>
            </w:pPr>
            <w:r/>
            <w:r>
              <w:rPr>
                <w:b w:val="0"/>
              </w:rPr>
              <w:t>BDX2BBP_release_1.0.2.zip</w:t>
            </w:r>
          </w:p>
        </w:tc>
        <w:tc>
          <w:tcPr>
            <w:tcW w:type="dxa" w:w="3389"/>
            <w:vAlign w:val="center"/>
          </w:tcPr>
          <w:p>
            <w:pPr>
              <w:pStyle w:val="TableText"/>
            </w:pPr>
            <w:r/>
            <w:r>
              <w:rPr>
                <w:b w:val="0"/>
              </w:rPr>
              <w:t>BDX2BBP executable.</w:t>
            </w:r>
          </w:p>
        </w:tc>
        <w:tc>
          <w:tcPr>
            <w:tcW w:type="dxa" w:w="3389"/>
            <w:vAlign w:val="center"/>
          </w:tcPr>
          <w:p>
            <w:pPr>
              <w:pStyle w:val="TableText"/>
            </w:pPr>
            <w:r/>
            <w:r>
              <w:rPr>
                <w:b w:val="0"/>
              </w:rPr>
              <w:t>Binary analysis source for conversion-side structures and method behavior.</w:t>
            </w:r>
          </w:p>
        </w:tc>
      </w:tr>
      <w:tr>
        <w:tc>
          <w:tcPr>
            <w:tcW w:type="dxa" w:w="3389"/>
            <w:vAlign w:val="center"/>
          </w:tcPr>
          <w:p>
            <w:pPr>
              <w:pStyle w:val="TableText"/>
            </w:pPr>
            <w:r/>
            <w:r>
              <w:rPr>
                <w:b w:val="0"/>
              </w:rPr>
              <w:t>Audit V1/V2 artifacts</w:t>
            </w:r>
          </w:p>
        </w:tc>
        <w:tc>
          <w:tcPr>
            <w:tcW w:type="dxa" w:w="3389"/>
            <w:vAlign w:val="center"/>
          </w:tcPr>
          <w:p>
            <w:pPr>
              <w:pStyle w:val="TableText"/>
            </w:pPr>
            <w:r/>
            <w:r>
              <w:rPr>
                <w:b w:val="0"/>
              </w:rPr>
              <w:t>Programmatic diagnostic outputs.</w:t>
            </w:r>
          </w:p>
        </w:tc>
        <w:tc>
          <w:tcPr>
            <w:tcW w:type="dxa" w:w="3389"/>
            <w:vAlign w:val="center"/>
          </w:tcPr>
          <w:p>
            <w:pPr>
              <w:pStyle w:val="TableText"/>
            </w:pPr>
            <w:r/>
            <w:r>
              <w:rPr>
                <w:b w:val="0"/>
              </w:rPr>
              <w:t>Used to detect dropped or malformed events; not a timbral oracle.</w:t>
            </w:r>
          </w:p>
        </w:tc>
      </w:tr>
    </w:tbl>
    <w:p/>
    <w:p>
      <w:r>
        <w:t>Important correction: the historical “40/40 exact” result means the converter reproduced 40 previously generated MIDIs exactly. It does not mean 40 independently correct songs were reproduced. This metric remains useful as a regression invariant but must no longer be described as musical ground truth.</w:t>
      </w:r>
    </w:p>
    <w:p>
      <w:r>
        <w:br w:type="page"/>
      </w:r>
    </w:p>
    <w:p>
      <w:pPr>
        <w:pStyle w:val="Heading1"/>
      </w:pPr>
      <w:r>
        <w:t>4. BBP structural model currently established</w:t>
      </w:r>
    </w:p>
    <w:p>
      <w:r>
        <w:t>The published Degausser format classes and the working parser establish a fixed per-song/per-channel structure. The key structures relevant to musical decoding are listed below.</w:t>
      </w:r>
    </w:p>
    <w:tbl>
      <w:tblPr>
        <w:tblStyle w:val="TableGrid"/>
        <w:tblW w:type="auto" w:w="0"/>
        <w:jc w:val="center"/>
        <w:tblLook w:firstColumn="1" w:firstRow="1" w:lastColumn="0" w:lastRow="0" w:noHBand="0" w:noVBand="1" w:val="04A0"/>
      </w:tblPr>
      <w:tblGrid>
        <w:gridCol w:w="3389"/>
        <w:gridCol w:w="3389"/>
        <w:gridCol w:w="3389"/>
      </w:tblGrid>
      <w:tr>
        <w:tc>
          <w:tcPr>
            <w:tcW w:type="dxa" w:w="3389"/>
            <w:vAlign w:val="center"/>
            <w:shd w:fill="D9E2F3"/>
          </w:tcPr>
          <w:p>
            <w:pPr>
              <w:pStyle w:val="TableText"/>
            </w:pPr>
            <w:r/>
            <w:r>
              <w:rPr>
                <w:b/>
              </w:rPr>
              <w:t>Structure</w:t>
            </w:r>
          </w:p>
        </w:tc>
        <w:tc>
          <w:tcPr>
            <w:tcW w:type="dxa" w:w="3389"/>
            <w:vAlign w:val="center"/>
            <w:shd w:fill="D9E2F3"/>
          </w:tcPr>
          <w:p>
            <w:pPr>
              <w:pStyle w:val="TableText"/>
            </w:pPr>
            <w:r/>
            <w:r>
              <w:rPr>
                <w:b/>
              </w:rPr>
              <w:t>Cardinality / representation</w:t>
            </w:r>
          </w:p>
        </w:tc>
        <w:tc>
          <w:tcPr>
            <w:tcW w:type="dxa" w:w="3389"/>
            <w:vAlign w:val="center"/>
            <w:shd w:fill="D9E2F3"/>
          </w:tcPr>
          <w:p>
            <w:pPr>
              <w:pStyle w:val="TableText"/>
            </w:pPr>
            <w:r/>
            <w:r>
              <w:rPr>
                <w:b/>
              </w:rPr>
              <w:t>Current semantic role</w:t>
            </w:r>
          </w:p>
        </w:tc>
      </w:tr>
      <w:tr>
        <w:tc>
          <w:tcPr>
            <w:tcW w:type="dxa" w:w="3389"/>
            <w:vAlign w:val="center"/>
          </w:tcPr>
          <w:p>
            <w:pPr>
              <w:pStyle w:val="TableText"/>
            </w:pPr>
            <w:r/>
            <w:r>
              <w:rPr>
                <w:b w:val="0"/>
              </w:rPr>
              <w:t>channel_info</w:t>
            </w:r>
          </w:p>
        </w:tc>
        <w:tc>
          <w:tcPr>
            <w:tcW w:type="dxa" w:w="3389"/>
            <w:vAlign w:val="center"/>
          </w:tcPr>
          <w:p>
            <w:pPr>
              <w:pStyle w:val="TableText"/>
            </w:pPr>
            <w:r/>
            <w:r>
              <w:rPr>
                <w:b w:val="0"/>
              </w:rPr>
              <w:t>10 channels; fixed-size channel records</w:t>
            </w:r>
          </w:p>
        </w:tc>
        <w:tc>
          <w:tcPr>
            <w:tcW w:type="dxa" w:w="3389"/>
            <w:vAlign w:val="center"/>
          </w:tcPr>
          <w:p>
            <w:pPr>
              <w:pStyle w:val="TableText"/>
            </w:pPr>
            <w:r/>
            <w:r>
              <w:rPr>
                <w:b w:val="0"/>
              </w:rPr>
              <w:t>Play type, instrument ID, per-channel volume, clone flag and related metadata.</w:t>
            </w:r>
          </w:p>
        </w:tc>
      </w:tr>
      <w:tr>
        <w:tc>
          <w:tcPr>
            <w:tcW w:type="dxa" w:w="3389"/>
            <w:vAlign w:val="center"/>
          </w:tcPr>
          <w:p>
            <w:pPr>
              <w:pStyle w:val="TableText"/>
            </w:pPr>
            <w:r/>
            <w:r>
              <w:rPr>
                <w:b w:val="0"/>
              </w:rPr>
              <w:t>channel_notes</w:t>
            </w:r>
          </w:p>
        </w:tc>
        <w:tc>
          <w:tcPr>
            <w:tcW w:type="dxa" w:w="3389"/>
            <w:vAlign w:val="center"/>
          </w:tcPr>
          <w:p>
            <w:pPr>
              <w:pStyle w:val="TableText"/>
            </w:pPr>
            <w:r/>
            <w:r>
              <w:rPr>
                <w:b w:val="0"/>
              </w:rPr>
              <w:t>10 × 2400 bytes</w:t>
            </w:r>
          </w:p>
        </w:tc>
        <w:tc>
          <w:tcPr>
            <w:tcW w:type="dxa" w:w="3389"/>
            <w:vAlign w:val="center"/>
          </w:tcPr>
          <w:p>
            <w:pPr>
              <w:pStyle w:val="TableText"/>
            </w:pPr>
            <w:r/>
            <w:r>
              <w:rPr>
                <w:b w:val="0"/>
              </w:rPr>
              <w:t>Per-channel encoded event stream; values below 0x80 are active event codes, high-bit values act as continuation/hold states in the older decoder model.</w:t>
            </w:r>
          </w:p>
        </w:tc>
      </w:tr>
      <w:tr>
        <w:tc>
          <w:tcPr>
            <w:tcW w:type="dxa" w:w="3389"/>
            <w:vAlign w:val="center"/>
          </w:tcPr>
          <w:p>
            <w:pPr>
              <w:pStyle w:val="TableText"/>
            </w:pPr>
            <w:r/>
            <w:r>
              <w:rPr>
                <w:b w:val="0"/>
              </w:rPr>
              <w:t>pianoPair</w:t>
            </w:r>
          </w:p>
        </w:tc>
        <w:tc>
          <w:tcPr>
            <w:tcW w:type="dxa" w:w="3389"/>
            <w:vAlign w:val="center"/>
          </w:tcPr>
          <w:p>
            <w:pPr>
              <w:pStyle w:val="TableText"/>
            </w:pPr>
            <w:r/>
            <w:r>
              <w:rPr>
                <w:b w:val="0"/>
              </w:rPr>
              <w:t>120 × (index, rawRoot)</w:t>
            </w:r>
          </w:p>
        </w:tc>
        <w:tc>
          <w:tcPr>
            <w:tcW w:type="dxa" w:w="3389"/>
            <w:vAlign w:val="center"/>
          </w:tcPr>
          <w:p>
            <w:pPr>
              <w:pStyle w:val="TableText"/>
            </w:pPr>
            <w:r/>
            <w:r>
              <w:rPr>
                <w:b w:val="0"/>
              </w:rPr>
              <w:t>Descriptor table referenced by piano attacks.</w:t>
            </w:r>
          </w:p>
        </w:tc>
      </w:tr>
      <w:tr>
        <w:tc>
          <w:tcPr>
            <w:tcW w:type="dxa" w:w="3389"/>
            <w:vAlign w:val="center"/>
          </w:tcPr>
          <w:p>
            <w:pPr>
              <w:pStyle w:val="TableText"/>
            </w:pPr>
            <w:r/>
            <w:r>
              <w:rPr>
                <w:b w:val="0"/>
              </w:rPr>
              <w:t>pianoOrig</w:t>
            </w:r>
          </w:p>
        </w:tc>
        <w:tc>
          <w:tcPr>
            <w:tcW w:type="dxa" w:w="3389"/>
            <w:vAlign w:val="center"/>
          </w:tcPr>
          <w:p>
            <w:pPr>
              <w:pStyle w:val="TableText"/>
            </w:pPr>
            <w:r/>
            <w:r>
              <w:rPr>
                <w:b w:val="0"/>
              </w:rPr>
              <w:t>64 × 4 bytes</w:t>
            </w:r>
          </w:p>
        </w:tc>
        <w:tc>
          <w:tcPr>
            <w:tcW w:type="dxa" w:w="3389"/>
            <w:vAlign w:val="center"/>
          </w:tcPr>
          <w:p>
            <w:pPr>
              <w:pStyle w:val="TableText"/>
            </w:pPr>
            <w:r/>
            <w:r>
              <w:rPr>
                <w:b w:val="0"/>
              </w:rPr>
              <w:t>Literal four-note piano chord store.</w:t>
            </w:r>
          </w:p>
        </w:tc>
      </w:tr>
      <w:tr>
        <w:tc>
          <w:tcPr>
            <w:tcW w:type="dxa" w:w="3389"/>
            <w:vAlign w:val="center"/>
          </w:tcPr>
          <w:p>
            <w:pPr>
              <w:pStyle w:val="TableText"/>
            </w:pPr>
            <w:r/>
            <w:r>
              <w:rPr>
                <w:b w:val="0"/>
              </w:rPr>
              <w:t>pianoChordChangeTable</w:t>
            </w:r>
          </w:p>
        </w:tc>
        <w:tc>
          <w:tcPr>
            <w:tcW w:type="dxa" w:w="3389"/>
            <w:vAlign w:val="center"/>
          </w:tcPr>
          <w:p>
            <w:pPr>
              <w:pStyle w:val="TableText"/>
            </w:pPr>
            <w:r/>
            <w:r>
              <w:rPr>
                <w:b w:val="0"/>
              </w:rPr>
              <w:t>timed entries</w:t>
            </w:r>
          </w:p>
        </w:tc>
        <w:tc>
          <w:tcPr>
            <w:tcW w:type="dxa" w:w="3389"/>
            <w:vAlign w:val="center"/>
          </w:tcPr>
          <w:p>
            <w:pPr>
              <w:pStyle w:val="TableText"/>
            </w:pPr>
            <w:r/>
            <w:r>
              <w:rPr>
                <w:b w:val="0"/>
              </w:rPr>
              <w:t>Changes the active piano descriptor over the timeline.</w:t>
            </w:r>
          </w:p>
        </w:tc>
      </w:tr>
      <w:tr>
        <w:tc>
          <w:tcPr>
            <w:tcW w:type="dxa" w:w="3389"/>
            <w:vAlign w:val="center"/>
          </w:tcPr>
          <w:p>
            <w:pPr>
              <w:pStyle w:val="TableText"/>
            </w:pPr>
            <w:r/>
            <w:r>
              <w:rPr>
                <w:b w:val="0"/>
              </w:rPr>
              <w:t>guitarOrig</w:t>
            </w:r>
          </w:p>
        </w:tc>
        <w:tc>
          <w:tcPr>
            <w:tcW w:type="dxa" w:w="3389"/>
            <w:vAlign w:val="center"/>
          </w:tcPr>
          <w:p>
            <w:pPr>
              <w:pStyle w:val="TableText"/>
            </w:pPr>
            <w:r/>
            <w:r>
              <w:rPr>
                <w:b w:val="0"/>
              </w:rPr>
              <w:t>32 × 32-bit packed values</w:t>
            </w:r>
          </w:p>
        </w:tc>
        <w:tc>
          <w:tcPr>
            <w:tcW w:type="dxa" w:w="3389"/>
            <w:vAlign w:val="center"/>
          </w:tcPr>
          <w:p>
            <w:pPr>
              <w:pStyle w:val="TableText"/>
            </w:pPr>
            <w:r/>
            <w:r>
              <w:rPr>
                <w:b w:val="0"/>
              </w:rPr>
              <w:t>Literal six-string guitar voicings; each 5-bit slice represents a string offset.</w:t>
            </w:r>
          </w:p>
        </w:tc>
      </w:tr>
      <w:tr>
        <w:tc>
          <w:tcPr>
            <w:tcW w:type="dxa" w:w="3389"/>
            <w:vAlign w:val="center"/>
          </w:tcPr>
          <w:p>
            <w:pPr>
              <w:pStyle w:val="TableText"/>
            </w:pPr>
            <w:r/>
            <w:r>
              <w:rPr>
                <w:b w:val="0"/>
              </w:rPr>
              <w:t>guitarTimer</w:t>
            </w:r>
          </w:p>
        </w:tc>
        <w:tc>
          <w:tcPr>
            <w:tcW w:type="dxa" w:w="3389"/>
            <w:vAlign w:val="center"/>
          </w:tcPr>
          <w:p>
            <w:pPr>
              <w:pStyle w:val="TableText"/>
            </w:pPr>
            <w:r/>
            <w:r>
              <w:rPr>
                <w:b w:val="0"/>
              </w:rPr>
              <w:t>48 rows × 10 IndexRootPair-like mappings</w:t>
            </w:r>
          </w:p>
        </w:tc>
        <w:tc>
          <w:tcPr>
            <w:tcW w:type="dxa" w:w="3389"/>
            <w:vAlign w:val="center"/>
          </w:tcPr>
          <w:p>
            <w:pPr>
              <w:pStyle w:val="TableText"/>
            </w:pPr>
            <w:r/>
            <w:r>
              <w:rPr>
                <w:b w:val="0"/>
              </w:rPr>
              <w:t>Time-selected guitar mapping state.</w:t>
            </w:r>
          </w:p>
        </w:tc>
      </w:tr>
      <w:tr>
        <w:tc>
          <w:tcPr>
            <w:tcW w:type="dxa" w:w="3389"/>
            <w:vAlign w:val="center"/>
          </w:tcPr>
          <w:p>
            <w:pPr>
              <w:pStyle w:val="TableText"/>
            </w:pPr>
            <w:r/>
            <w:r>
              <w:rPr>
                <w:b w:val="0"/>
              </w:rPr>
              <w:t>guitarChordChangeTable</w:t>
            </w:r>
          </w:p>
        </w:tc>
        <w:tc>
          <w:tcPr>
            <w:tcW w:type="dxa" w:w="3389"/>
            <w:vAlign w:val="center"/>
          </w:tcPr>
          <w:p>
            <w:pPr>
              <w:pStyle w:val="TableText"/>
            </w:pPr>
            <w:r/>
            <w:r>
              <w:rPr>
                <w:b w:val="0"/>
              </w:rPr>
              <w:t>timed entries</w:t>
            </w:r>
          </w:p>
        </w:tc>
        <w:tc>
          <w:tcPr>
            <w:tcW w:type="dxa" w:w="3389"/>
            <w:vAlign w:val="center"/>
          </w:tcPr>
          <w:p>
            <w:pPr>
              <w:pStyle w:val="TableText"/>
            </w:pPr>
            <w:r/>
            <w:r>
              <w:rPr>
                <w:b w:val="0"/>
              </w:rPr>
              <w:t>Time-varying guitar descriptor/attack state.</w:t>
            </w:r>
          </w:p>
        </w:tc>
      </w:tr>
      <w:tr>
        <w:tc>
          <w:tcPr>
            <w:tcW w:type="dxa" w:w="3389"/>
            <w:vAlign w:val="center"/>
          </w:tcPr>
          <w:p>
            <w:pPr>
              <w:pStyle w:val="TableText"/>
            </w:pPr>
            <w:r/>
            <w:r>
              <w:rPr>
                <w:b w:val="0"/>
              </w:rPr>
              <w:t>tempo / volume tables</w:t>
            </w:r>
          </w:p>
        </w:tc>
        <w:tc>
          <w:tcPr>
            <w:tcW w:type="dxa" w:w="3389"/>
            <w:vAlign w:val="center"/>
          </w:tcPr>
          <w:p>
            <w:pPr>
              <w:pStyle w:val="TableText"/>
            </w:pPr>
            <w:r/>
            <w:r>
              <w:rPr>
                <w:b w:val="0"/>
              </w:rPr>
              <w:t>timed value pairs</w:t>
            </w:r>
          </w:p>
        </w:tc>
        <w:tc>
          <w:tcPr>
            <w:tcW w:type="dxa" w:w="3389"/>
            <w:vAlign w:val="center"/>
          </w:tcPr>
          <w:p>
            <w:pPr>
              <w:pStyle w:val="TableText"/>
            </w:pPr>
            <w:r/>
            <w:r>
              <w:rPr>
                <w:b w:val="0"/>
              </w:rPr>
              <w:t>Tempo and track-level dynamic information; not yet fully reconciled into a final audible-volume model.</w:t>
            </w:r>
          </w:p>
        </w:tc>
      </w:tr>
    </w:tbl>
    <w:p/>
    <w:p>
      <w:r>
        <w:t>The 48-frames-per-line expansion is a central invariant of the older implementation. MIDI generation in the existing converter uses 48 ticks per beat and a scale of 4 MIDI ticks per BBP frame, yielding 192 MIDI ticks per BBP line. This is the current timing base retained by V14.</w:t>
      </w:r>
    </w:p>
    <w:p>
      <w:pPr>
        <w:pStyle w:val="CodeBlock"/>
        <w:ind w:left="360" w:right="173"/>
      </w:pPr>
      <w:r>
        <w:t>BBP line → 48 internal frames</w:t>
        <w:br/>
        <w:t>frame f → MIDI tick = f × 4</w:t>
        <w:br/>
        <w:t>MIDI ticks/beat = 48</w:t>
      </w:r>
    </w:p>
    <w:p>
      <w:pPr>
        <w:pStyle w:val="Heading1"/>
      </w:pPr>
      <w:r>
        <w:t>5. Event-stream semantics and bit-level observations</w:t>
      </w:r>
    </w:p>
    <w:p>
      <w:r>
        <w:t>The older Degausser decoder provides a useful baseline for the channel stream. A four-byte group is interpreted according to the first byte; in melodic channels 0xFF is a special triplet-timing marker. High-bit note bytes are not independent note IDs. A zero value is treated as release/silence in the relevant melodic path. Drums are separate: a drum byte is split into upper and lower nibbles, so two independent percussion streams can share a byte.</w:t>
      </w:r>
    </w:p>
    <w:p>
      <w:pPr>
        <w:pStyle w:val="CodeBlock"/>
        <w:ind w:left="360" w:right="173"/>
      </w:pPr>
      <w:r>
        <w:t>Melodic channel (conceptual):</w:t>
        <w:br/>
        <w:t xml:space="preserve">  group = 4 bytes</w:t>
        <w:br/>
        <w:t xml:space="preserve">  if group[0] == 0xFF:</w:t>
        <w:br/>
        <w:t xml:space="preserve">      altered 3-note/4-note timing subdivision</w:t>
        <w:br/>
        <w:t xml:space="preserve">  for event byte b:</w:t>
        <w:br/>
        <w:t xml:space="preserve">      if b &lt; 0x80:</w:t>
        <w:br/>
        <w:t xml:space="preserve">          active event / release semantics depend on instrument</w:t>
        <w:br/>
        <w:t xml:space="preserve">      elif b &gt;= 0x80:</w:t>
        <w:br/>
        <w:t xml:space="preserve">          continuation/hold state (not a new chord ID)</w:t>
      </w:r>
    </w:p>
    <w:p>
      <w:pPr>
        <w:pStyle w:val="CodeBlock"/>
        <w:ind w:left="360" w:right="173"/>
      </w:pPr>
      <w:r>
        <w:t>Drum channel (conceptual):</w:t>
        <w:br/>
        <w:t xml:space="preserve">  byte -&gt; hi = (byte &gt;&gt; 4) &amp; 0xF</w:t>
        <w:br/>
        <w:t xml:space="preserve">           lo = byte &amp; 0xF</w:t>
        <w:br/>
        <w:t xml:space="preserve">  hi and lo are independent timing/event streams</w:t>
        <w:br/>
        <w:t xml:space="preserve">  0xF is the drum-side triplet marker</w:t>
      </w:r>
    </w:p>
    <w:p>
      <w:r>
        <w:t>This distinction corrected an audit error. Audit V1 counted high-bit continuation values as unexplained piano IDs, creating a false population of unresolved “IDs above 64.” Audit V2 reclassified high-bit values as continuation/hold states. That entire V1 conclusion about thousands of unresolved piano IDs is rejected.</w:t>
      </w:r>
    </w:p>
    <w:p>
      <w:pPr>
        <w:pStyle w:val="Heading1"/>
      </w:pPr>
      <w:r>
        <w:t>6. Drums — a confirmed implementation failure and correction</w:t>
      </w:r>
    </w:p>
    <w:p>
      <w:r>
        <w:t>The drum defect is the clearest case where structural coverage did not guarantee audible output. In V13, percussion events were being emitted as NoteOn followed immediately by NoteOff at the same MIDI tick. Structurally present drum events therefore existed, but some playback engines could treat them as zero-duration triggers and produce no audible percussion.</w:t>
      </w:r>
    </w:p>
    <w:p>
      <w:pPr>
        <w:pStyle w:val="CodeBlock"/>
        <w:ind w:left="360" w:right="173"/>
      </w:pPr>
      <w:r>
        <w:t>V13 behavior (problematic):</w:t>
        <w:br/>
        <w:t xml:space="preserve">  t: NoteOn(drum_note, velocity)</w:t>
        <w:br/>
        <w:t xml:space="preserve">  t: NoteOff(drum_note, velocity=0)</w:t>
        <w:br/>
        <w:t xml:space="preserve">  duration = 0 ticks</w:t>
      </w:r>
    </w:p>
    <w:p>
      <w:pPr>
        <w:pStyle w:val="CodeBlock"/>
        <w:ind w:left="360" w:right="173"/>
      </w:pPr>
      <w:r>
        <w:t>V14 behavior (corrected):</w:t>
        <w:br/>
        <w:t xml:space="preserve">  decode upper/lower drum nibbles independently</w:t>
        <w:br/>
        <w:t xml:space="preserve">  honor 0xF drum timing marker per nibble stream</w:t>
        <w:br/>
        <w:t xml:space="preserve">  emit percussion trigger as NoteOn without same-tick NoteOff</w:t>
      </w:r>
    </w:p>
    <w:p>
      <w:r>
        <w:t>The correction was then independently corroborated by the user listening to the same song on original Nintendo 2DS hardware. The user reported that the previously missing drums became “clear and strong.” This is the strongest end-to-end hardware validation obtained so far.</w:t>
      </w:r>
    </w:p>
    <w:p>
      <w:r>
        <w:t>Status: CONFIRMED for event decoding and practical audibility of the corrected drum representation. Exact Nintendo sample/timbre identity remains a separate question.</w:t>
      </w:r>
    </w:p>
    <w:p>
      <w:r>
        <w:br w:type="page"/>
      </w:r>
    </w:p>
    <w:p>
      <w:pPr>
        <w:pStyle w:val="Heading1"/>
      </w:pPr>
      <w:r>
        <w:t>7. Piano — current technical state</w:t>
      </w:r>
    </w:p>
    <w:p>
      <w:r>
        <w:t>The creator has provided the decisive semantic statement: piano has two flavors: (1) chords generated from root + accidental + additional descriptor information, and (2) four literal notes. This directly invalidates the former V14 model in which a piano attack was treated as a direct index into pianoOrig for general use.</w:t>
      </w:r>
    </w:p>
    <w:p>
      <w:pPr>
        <w:pStyle w:val="CodeBlock"/>
        <w:ind w:left="360" w:right="173"/>
      </w:pPr>
      <w:r>
        <w:t>Correct conceptual runtime chain:</w:t>
        <w:br/>
        <w:t xml:space="preserve">  attack byte n</w:t>
        <w:br/>
        <w:t xml:space="preserve">      ↓</w:t>
        <w:br/>
        <w:t xml:space="preserve">  pianoPair[n-1] = (index, rawRoot)</w:t>
        <w:br/>
        <w:t xml:space="preserve">      ↓</w:t>
        <w:br/>
        <w:t xml:space="preserve">  descriptor resolver</w:t>
        <w:br/>
        <w:t xml:space="preserve">      ↓</w:t>
        <w:br/>
        <w:t xml:space="preserve">  literal 4-note chord OR generated 4-note chord</w:t>
        <w:br/>
        <w:t xml:space="preserve">      ↓</w:t>
        <w:br/>
        <w:t xml:space="preserve">  MIDI attack</w:t>
      </w:r>
    </w:p>
    <w:tbl>
      <w:tblPr>
        <w:tblStyle w:val="TableGrid"/>
        <w:tblW w:type="auto" w:w="0"/>
        <w:jc w:val="center"/>
        <w:tblLook w:firstColumn="1" w:firstRow="1" w:lastColumn="0" w:lastRow="0" w:noHBand="0" w:noVBand="1" w:val="04A0"/>
      </w:tblPr>
      <w:tblGrid>
        <w:gridCol w:w="3389"/>
        <w:gridCol w:w="3389"/>
        <w:gridCol w:w="3389"/>
      </w:tblGrid>
      <w:tr>
        <w:tc>
          <w:tcPr>
            <w:tcW w:type="dxa" w:w="3389"/>
            <w:vAlign w:val="center"/>
            <w:shd w:fill="D9E2F3"/>
          </w:tcPr>
          <w:p>
            <w:pPr>
              <w:pStyle w:val="TableText"/>
            </w:pPr>
            <w:r/>
            <w:r>
              <w:rPr>
                <w:b/>
              </w:rPr>
              <w:t>Observation</w:t>
            </w:r>
          </w:p>
        </w:tc>
        <w:tc>
          <w:tcPr>
            <w:tcW w:type="dxa" w:w="3389"/>
            <w:vAlign w:val="center"/>
            <w:shd w:fill="D9E2F3"/>
          </w:tcPr>
          <w:p>
            <w:pPr>
              <w:pStyle w:val="TableText"/>
            </w:pPr>
            <w:r/>
            <w:r>
              <w:rPr>
                <w:b/>
              </w:rPr>
              <w:t>Evidence status</w:t>
            </w:r>
          </w:p>
        </w:tc>
        <w:tc>
          <w:tcPr>
            <w:tcW w:type="dxa" w:w="3389"/>
            <w:vAlign w:val="center"/>
            <w:shd w:fill="D9E2F3"/>
          </w:tcPr>
          <w:p>
            <w:pPr>
              <w:pStyle w:val="TableText"/>
            </w:pPr>
            <w:r/>
            <w:r>
              <w:rPr>
                <w:b/>
              </w:rPr>
              <w:t>Implication</w:t>
            </w:r>
          </w:p>
        </w:tc>
      </w:tr>
      <w:tr>
        <w:tc>
          <w:tcPr>
            <w:tcW w:type="dxa" w:w="3389"/>
            <w:vAlign w:val="center"/>
          </w:tcPr>
          <w:p>
            <w:pPr>
              <w:pStyle w:val="TableText"/>
            </w:pPr>
            <w:r/>
            <w:r>
              <w:rPr>
                <w:b w:val="0"/>
              </w:rPr>
              <w:t>pianoPair has 120 entries</w:t>
            </w:r>
          </w:p>
        </w:tc>
        <w:tc>
          <w:tcPr>
            <w:tcW w:type="dxa" w:w="3389"/>
            <w:vAlign w:val="center"/>
          </w:tcPr>
          <w:p>
            <w:pPr>
              <w:pStyle w:val="TableText"/>
            </w:pPr>
            <w:r/>
            <w:r>
              <w:rPr>
                <w:b w:val="0"/>
              </w:rPr>
              <w:t>CONFIRMED</w:t>
            </w:r>
          </w:p>
        </w:tc>
        <w:tc>
          <w:tcPr>
            <w:tcW w:type="dxa" w:w="3389"/>
            <w:vAlign w:val="center"/>
          </w:tcPr>
          <w:p>
            <w:pPr>
              <w:pStyle w:val="TableText"/>
            </w:pPr>
            <w:r/>
            <w:r>
              <w:rPr>
                <w:b w:val="0"/>
              </w:rPr>
              <w:t>Attack codes cannot generally map directly to the 64-entry pianoOrig store.</w:t>
            </w:r>
          </w:p>
        </w:tc>
      </w:tr>
      <w:tr>
        <w:tc>
          <w:tcPr>
            <w:tcW w:type="dxa" w:w="3389"/>
            <w:vAlign w:val="center"/>
          </w:tcPr>
          <w:p>
            <w:pPr>
              <w:pStyle w:val="TableText"/>
            </w:pPr>
            <w:r/>
            <w:r>
              <w:rPr>
                <w:b w:val="0"/>
              </w:rPr>
              <w:t>pianoOrig has 64 × 4-byte literal records</w:t>
            </w:r>
          </w:p>
        </w:tc>
        <w:tc>
          <w:tcPr>
            <w:tcW w:type="dxa" w:w="3389"/>
            <w:vAlign w:val="center"/>
          </w:tcPr>
          <w:p>
            <w:pPr>
              <w:pStyle w:val="TableText"/>
            </w:pPr>
            <w:r/>
            <w:r>
              <w:rPr>
                <w:b w:val="0"/>
              </w:rPr>
              <w:t>CONFIRMED</w:t>
            </w:r>
          </w:p>
        </w:tc>
        <w:tc>
          <w:tcPr>
            <w:tcW w:type="dxa" w:w="3389"/>
            <w:vAlign w:val="center"/>
          </w:tcPr>
          <w:p>
            <w:pPr>
              <w:pStyle w:val="TableText"/>
            </w:pPr>
            <w:r/>
            <w:r>
              <w:rPr>
                <w:b w:val="0"/>
              </w:rPr>
              <w:t>One piano flavor is a literal four-note store.</w:t>
            </w:r>
          </w:p>
        </w:tc>
      </w:tr>
      <w:tr>
        <w:tc>
          <w:tcPr>
            <w:tcW w:type="dxa" w:w="3389"/>
            <w:vAlign w:val="center"/>
          </w:tcPr>
          <w:p>
            <w:pPr>
              <w:pStyle w:val="TableText"/>
            </w:pPr>
            <w:r/>
            <w:r>
              <w:rPr>
                <w:b w:val="0"/>
              </w:rPr>
              <w:t>pianoChordChangeTable carries timed descriptor changes</w:t>
            </w:r>
          </w:p>
        </w:tc>
        <w:tc>
          <w:tcPr>
            <w:tcW w:type="dxa" w:w="3389"/>
            <w:vAlign w:val="center"/>
          </w:tcPr>
          <w:p>
            <w:pPr>
              <w:pStyle w:val="TableText"/>
            </w:pPr>
            <w:r/>
            <w:r>
              <w:rPr>
                <w:b w:val="0"/>
              </w:rPr>
              <w:t>CONFIRMED</w:t>
            </w:r>
          </w:p>
        </w:tc>
        <w:tc>
          <w:tcPr>
            <w:tcW w:type="dxa" w:w="3389"/>
            <w:vAlign w:val="center"/>
          </w:tcPr>
          <w:p>
            <w:pPr>
              <w:pStyle w:val="TableText"/>
            </w:pPr>
            <w:r/>
            <w:r>
              <w:rPr>
                <w:b w:val="0"/>
              </w:rPr>
              <w:t>The active chord definition is time-varying, not a static table lookup alone.</w:t>
            </w:r>
          </w:p>
        </w:tc>
      </w:tr>
      <w:tr>
        <w:tc>
          <w:tcPr>
            <w:tcW w:type="dxa" w:w="3389"/>
            <w:vAlign w:val="center"/>
          </w:tcPr>
          <w:p>
            <w:pPr>
              <w:pStyle w:val="TableText"/>
            </w:pPr>
            <w:r/>
            <w:r>
              <w:rPr>
                <w:b w:val="0"/>
              </w:rPr>
              <w:t>Creator describes generated + literal flavors</w:t>
            </w:r>
          </w:p>
        </w:tc>
        <w:tc>
          <w:tcPr>
            <w:tcW w:type="dxa" w:w="3389"/>
            <w:vAlign w:val="center"/>
          </w:tcPr>
          <w:p>
            <w:pPr>
              <w:pStyle w:val="TableText"/>
            </w:pPr>
            <w:r/>
            <w:r>
              <w:rPr>
                <w:b w:val="0"/>
              </w:rPr>
              <w:t>CONFIRMED (expert statement)</w:t>
            </w:r>
          </w:p>
        </w:tc>
        <w:tc>
          <w:tcPr>
            <w:tcW w:type="dxa" w:w="3389"/>
            <w:vAlign w:val="center"/>
          </w:tcPr>
          <w:p>
            <w:pPr>
              <w:pStyle w:val="TableText"/>
            </w:pPr>
            <w:r/>
            <w:r>
              <w:rPr>
                <w:b w:val="0"/>
              </w:rPr>
              <w:t>Any complete decoder must distinguish the two forms.</w:t>
            </w:r>
          </w:p>
        </w:tc>
      </w:tr>
      <w:tr>
        <w:tc>
          <w:tcPr>
            <w:tcW w:type="dxa" w:w="3389"/>
            <w:vAlign w:val="center"/>
          </w:tcPr>
          <w:p>
            <w:pPr>
              <w:pStyle w:val="TableText"/>
            </w:pPr>
            <w:r/>
            <w:r>
              <w:rPr>
                <w:b w:val="0"/>
              </w:rPr>
              <w:t>BDX2BBP 1.0.2 contains separate generated/literal remapping paths</w:t>
            </w:r>
          </w:p>
        </w:tc>
        <w:tc>
          <w:tcPr>
            <w:tcW w:type="dxa" w:w="3389"/>
            <w:vAlign w:val="center"/>
          </w:tcPr>
          <w:p>
            <w:pPr>
              <w:pStyle w:val="TableText"/>
            </w:pPr>
            <w:r/>
            <w:r>
              <w:rPr>
                <w:b w:val="0"/>
              </w:rPr>
              <w:t>CONFIRMED (conversion-side)</w:t>
            </w:r>
          </w:p>
        </w:tc>
        <w:tc>
          <w:tcPr>
            <w:tcW w:type="dxa" w:w="3389"/>
            <w:vAlign w:val="center"/>
          </w:tcPr>
          <w:p>
            <w:pPr>
              <w:pStyle w:val="TableText"/>
            </w:pPr>
            <w:r/>
            <w:r>
              <w:rPr>
                <w:b w:val="0"/>
              </w:rPr>
              <w:t>Strong evidence for representation classes; not proof of native playback algorithm.</w:t>
            </w:r>
          </w:p>
        </w:tc>
      </w:tr>
      <w:tr>
        <w:tc>
          <w:tcPr>
            <w:tcW w:type="dxa" w:w="3389"/>
            <w:vAlign w:val="center"/>
          </w:tcPr>
          <w:p>
            <w:pPr>
              <w:pStyle w:val="TableText"/>
            </w:pPr>
            <w:r/>
            <w:r>
              <w:rPr>
                <w:b w:val="0"/>
              </w:rPr>
              <w:t>Native generated resolver = component bitmask</w:t>
            </w:r>
          </w:p>
        </w:tc>
        <w:tc>
          <w:tcPr>
            <w:tcW w:type="dxa" w:w="3389"/>
            <w:vAlign w:val="center"/>
          </w:tcPr>
          <w:p>
            <w:pPr>
              <w:pStyle w:val="TableText"/>
            </w:pPr>
            <w:r/>
            <w:r>
              <w:rPr>
                <w:b w:val="0"/>
              </w:rPr>
              <w:t>HYPOTHESIS</w:t>
            </w:r>
          </w:p>
        </w:tc>
        <w:tc>
          <w:tcPr>
            <w:tcW w:type="dxa" w:w="3389"/>
            <w:vAlign w:val="center"/>
          </w:tcPr>
          <w:p>
            <w:pPr>
              <w:pStyle w:val="TableText"/>
            </w:pPr>
            <w:r/>
            <w:r>
              <w:rPr>
                <w:b w:val="0"/>
              </w:rPr>
              <w:t>Recurring index values have suggestive bit patterns, but exact bit-to-interval mapping is unproven.</w:t>
            </w:r>
          </w:p>
        </w:tc>
      </w:tr>
      <w:tr>
        <w:tc>
          <w:tcPr>
            <w:tcW w:type="dxa" w:w="3389"/>
            <w:vAlign w:val="center"/>
          </w:tcPr>
          <w:p>
            <w:pPr>
              <w:pStyle w:val="TableText"/>
            </w:pPr>
            <w:r/>
            <w:r>
              <w:rPr>
                <w:b w:val="0"/>
              </w:rPr>
              <w:t>Extended piano IDs are literal MIDI pitches</w:t>
            </w:r>
          </w:p>
        </w:tc>
        <w:tc>
          <w:tcPr>
            <w:tcW w:type="dxa" w:w="3389"/>
            <w:vAlign w:val="center"/>
          </w:tcPr>
          <w:p>
            <w:pPr>
              <w:pStyle w:val="TableText"/>
            </w:pPr>
            <w:r/>
            <w:r>
              <w:rPr>
                <w:b w:val="0"/>
              </w:rPr>
              <w:t>REJECTED</w:t>
            </w:r>
          </w:p>
        </w:tc>
        <w:tc>
          <w:tcPr>
            <w:tcW w:type="dxa" w:w="3389"/>
            <w:vAlign w:val="center"/>
          </w:tcPr>
          <w:p>
            <w:pPr>
              <w:pStyle w:val="TableText"/>
            </w:pPr>
            <w:r/>
            <w:r>
              <w:rPr>
                <w:b w:val="0"/>
              </w:rPr>
              <w:t>V15 experiment abandoned; descriptor structure and creator statement contradict it.</w:t>
            </w:r>
          </w:p>
        </w:tc>
      </w:tr>
    </w:tbl>
    <w:p/>
    <w:p>
      <w:r>
        <w:t>The BDX2BBP binary is still valuable because it exposes conversion-side objects such as piano remapping and generated PianoChord machinery. However, its role must be carefully bounded: BDX→BBP conversion is not identical to native BBP game playback. The creator explicitly warned that older Degausser chord handling was not correct.</w:t>
      </w:r>
    </w:p>
    <w:p>
      <w:r>
        <w:t>Current unresolved piano question: given a native BBP descriptor (index, rawRoot) and the current time/attack state, exactly which four pitches are generated, including root interpretation, chord/component selection, voicing/register constraints, and the selection between generated and literal representations?</w:t>
      </w:r>
    </w:p>
    <w:p>
      <w:pPr>
        <w:pStyle w:val="Heading1"/>
      </w:pPr>
      <w:r>
        <w:t>8. Guitar — three semantic flavors and missing articulation</w:t>
      </w:r>
    </w:p>
    <w:p>
      <w:r>
        <w:t>The creator identifies three guitar flavors: (1) generated from root + additional descriptor data, (2) six literal notes, and (3) BDX-migrated. He reports that the present AI-improved converter gets the BDX-migrated form right and approximately half of the six-literal-note form. He also identifies two remaining articulation defects: consecutive strums are being treated too much like legato, and strumming a subset of strings is ignored.</w:t>
      </w:r>
    </w:p>
    <w:tbl>
      <w:tblPr>
        <w:tblStyle w:val="TableGrid"/>
        <w:tblW w:type="auto" w:w="0"/>
        <w:jc w:val="center"/>
        <w:tblLook w:firstColumn="1" w:firstRow="1" w:lastColumn="0" w:lastRow="0" w:noHBand="0" w:noVBand="1" w:val="04A0"/>
      </w:tblPr>
      <w:tblGrid>
        <w:gridCol w:w="3389"/>
        <w:gridCol w:w="3389"/>
        <w:gridCol w:w="3389"/>
      </w:tblGrid>
      <w:tr>
        <w:tc>
          <w:tcPr>
            <w:tcW w:type="dxa" w:w="3389"/>
            <w:vAlign w:val="center"/>
            <w:shd w:fill="D9E2F3"/>
          </w:tcPr>
          <w:p>
            <w:pPr>
              <w:pStyle w:val="TableText"/>
            </w:pPr>
            <w:r/>
            <w:r>
              <w:rPr>
                <w:b/>
              </w:rPr>
              <w:t>Guitar structure</w:t>
            </w:r>
          </w:p>
        </w:tc>
        <w:tc>
          <w:tcPr>
            <w:tcW w:type="dxa" w:w="3389"/>
            <w:vAlign w:val="center"/>
            <w:shd w:fill="D9E2F3"/>
          </w:tcPr>
          <w:p>
            <w:pPr>
              <w:pStyle w:val="TableText"/>
            </w:pPr>
            <w:r/>
            <w:r>
              <w:rPr>
                <w:b/>
              </w:rPr>
              <w:t>Current understanding</w:t>
            </w:r>
          </w:p>
        </w:tc>
        <w:tc>
          <w:tcPr>
            <w:tcW w:type="dxa" w:w="3389"/>
            <w:vAlign w:val="center"/>
            <w:shd w:fill="D9E2F3"/>
          </w:tcPr>
          <w:p>
            <w:pPr>
              <w:pStyle w:val="TableText"/>
            </w:pPr>
            <w:r/>
            <w:r>
              <w:rPr>
                <w:b/>
              </w:rPr>
              <w:t>Status</w:t>
            </w:r>
          </w:p>
        </w:tc>
      </w:tr>
      <w:tr>
        <w:tc>
          <w:tcPr>
            <w:tcW w:type="dxa" w:w="3389"/>
            <w:vAlign w:val="center"/>
          </w:tcPr>
          <w:p>
            <w:pPr>
              <w:pStyle w:val="TableText"/>
            </w:pPr>
            <w:r/>
            <w:r>
              <w:rPr>
                <w:b w:val="0"/>
              </w:rPr>
              <w:t>guitarOrig[32]</w:t>
            </w:r>
          </w:p>
        </w:tc>
        <w:tc>
          <w:tcPr>
            <w:tcW w:type="dxa" w:w="3389"/>
            <w:vAlign w:val="center"/>
          </w:tcPr>
          <w:p>
            <w:pPr>
              <w:pStyle w:val="TableText"/>
            </w:pPr>
            <w:r/>
            <w:r>
              <w:rPr>
                <w:b w:val="0"/>
              </w:rPr>
              <w:t>Packed six-string voicing; six 5-bit slices; values ≥16 indicate an unused/silent string in the older decoder model.</w:t>
            </w:r>
          </w:p>
        </w:tc>
        <w:tc>
          <w:tcPr>
            <w:tcW w:type="dxa" w:w="3389"/>
            <w:vAlign w:val="center"/>
          </w:tcPr>
          <w:p>
            <w:pPr>
              <w:pStyle w:val="TableText"/>
            </w:pPr>
            <w:r/>
            <w:r>
              <w:rPr>
                <w:b w:val="0"/>
              </w:rPr>
              <w:t>CONFIRMED structure.</w:t>
            </w:r>
          </w:p>
        </w:tc>
      </w:tr>
      <w:tr>
        <w:tc>
          <w:tcPr>
            <w:tcW w:type="dxa" w:w="3389"/>
            <w:vAlign w:val="center"/>
          </w:tcPr>
          <w:p>
            <w:pPr>
              <w:pStyle w:val="TableText"/>
            </w:pPr>
            <w:r/>
            <w:r>
              <w:rPr>
                <w:b w:val="0"/>
              </w:rPr>
              <w:t>guitarTimer</w:t>
            </w:r>
          </w:p>
        </w:tc>
        <w:tc>
          <w:tcPr>
            <w:tcW w:type="dxa" w:w="3389"/>
            <w:vAlign w:val="center"/>
          </w:tcPr>
          <w:p>
            <w:pPr>
              <w:pStyle w:val="TableText"/>
            </w:pPr>
            <w:r/>
            <w:r>
              <w:rPr>
                <w:b w:val="0"/>
              </w:rPr>
              <w:t>48 time rows × 10 mapping slots. FF/FF is treated in V14 as “no update; retain previous mapping.”</w:t>
            </w:r>
          </w:p>
        </w:tc>
        <w:tc>
          <w:tcPr>
            <w:tcW w:type="dxa" w:w="3389"/>
            <w:vAlign w:val="center"/>
          </w:tcPr>
          <w:p>
            <w:pPr>
              <w:pStyle w:val="TableText"/>
            </w:pPr>
            <w:r/>
            <w:r>
              <w:rPr>
                <w:b w:val="0"/>
              </w:rPr>
              <w:t>STRONGLY SUPPORTED by parser behavior and format layout.</w:t>
            </w:r>
          </w:p>
        </w:tc>
      </w:tr>
      <w:tr>
        <w:tc>
          <w:tcPr>
            <w:tcW w:type="dxa" w:w="3389"/>
            <w:vAlign w:val="center"/>
          </w:tcPr>
          <w:p>
            <w:pPr>
              <w:pStyle w:val="TableText"/>
            </w:pPr>
            <w:r/>
            <w:r>
              <w:rPr>
                <w:b w:val="0"/>
              </w:rPr>
              <w:t>guitarChordChangeTable</w:t>
            </w:r>
          </w:p>
        </w:tc>
        <w:tc>
          <w:tcPr>
            <w:tcW w:type="dxa" w:w="3389"/>
            <w:vAlign w:val="center"/>
          </w:tcPr>
          <w:p>
            <w:pPr>
              <w:pStyle w:val="TableText"/>
            </w:pPr>
            <w:r/>
            <w:r>
              <w:rPr>
                <w:b w:val="0"/>
              </w:rPr>
              <w:t>Separate timed guitar descriptor/attack changes.</w:t>
            </w:r>
          </w:p>
        </w:tc>
        <w:tc>
          <w:tcPr>
            <w:tcW w:type="dxa" w:w="3389"/>
            <w:vAlign w:val="center"/>
          </w:tcPr>
          <w:p>
            <w:pPr>
              <w:pStyle w:val="TableText"/>
            </w:pPr>
            <w:r/>
            <w:r>
              <w:rPr>
                <w:b w:val="0"/>
              </w:rPr>
              <w:t>CONFIRMED structure; exact playback semantics unresolved.</w:t>
            </w:r>
          </w:p>
        </w:tc>
      </w:tr>
      <w:tr>
        <w:tc>
          <w:tcPr>
            <w:tcW w:type="dxa" w:w="3389"/>
            <w:vAlign w:val="center"/>
          </w:tcPr>
          <w:p>
            <w:pPr>
              <w:pStyle w:val="TableText"/>
            </w:pPr>
            <w:r/>
            <w:r>
              <w:rPr>
                <w:b w:val="0"/>
              </w:rPr>
              <w:t>BDX-migrated guitar</w:t>
            </w:r>
          </w:p>
        </w:tc>
        <w:tc>
          <w:tcPr>
            <w:tcW w:type="dxa" w:w="3389"/>
            <w:vAlign w:val="center"/>
          </w:tcPr>
          <w:p>
            <w:pPr>
              <w:pStyle w:val="TableText"/>
            </w:pPr>
            <w:r/>
            <w:r>
              <w:rPr>
                <w:b w:val="0"/>
              </w:rPr>
              <w:t>V14 contains a special inverse transform for values shaped like BDX mapping entries.</w:t>
            </w:r>
          </w:p>
        </w:tc>
        <w:tc>
          <w:tcPr>
            <w:tcW w:type="dxa" w:w="3389"/>
            <w:vAlign w:val="center"/>
          </w:tcPr>
          <w:p>
            <w:pPr>
              <w:pStyle w:val="TableText"/>
            </w:pPr>
            <w:r/>
            <w:r>
              <w:rPr>
                <w:b w:val="0"/>
              </w:rPr>
              <w:t>Creator says this flavor is handled reasonably well; still needs formal verification.</w:t>
            </w:r>
          </w:p>
        </w:tc>
      </w:tr>
      <w:tr>
        <w:tc>
          <w:tcPr>
            <w:tcW w:type="dxa" w:w="3389"/>
            <w:vAlign w:val="center"/>
          </w:tcPr>
          <w:p>
            <w:pPr>
              <w:pStyle w:val="TableText"/>
            </w:pPr>
            <w:r/>
            <w:r>
              <w:rPr>
                <w:b w:val="0"/>
              </w:rPr>
              <w:t>Native generated guitar</w:t>
            </w:r>
          </w:p>
        </w:tc>
        <w:tc>
          <w:tcPr>
            <w:tcW w:type="dxa" w:w="3389"/>
            <w:vAlign w:val="center"/>
          </w:tcPr>
          <w:p>
            <w:pPr>
              <w:pStyle w:val="TableText"/>
            </w:pPr>
            <w:r/>
            <w:r>
              <w:rPr>
                <w:b w:val="0"/>
              </w:rPr>
              <w:t>Requires root/descriptor resolution beyond low-nibble stock-shape lookup.</w:t>
            </w:r>
          </w:p>
        </w:tc>
        <w:tc>
          <w:tcPr>
            <w:tcW w:type="dxa" w:w="3389"/>
            <w:vAlign w:val="center"/>
          </w:tcPr>
          <w:p>
            <w:pPr>
              <w:pStyle w:val="TableText"/>
            </w:pPr>
            <w:r/>
            <w:r>
              <w:rPr>
                <w:b w:val="0"/>
              </w:rPr>
              <w:t>UNRESOLVED.</w:t>
            </w:r>
          </w:p>
        </w:tc>
      </w:tr>
      <w:tr>
        <w:tc>
          <w:tcPr>
            <w:tcW w:type="dxa" w:w="3389"/>
            <w:vAlign w:val="center"/>
          </w:tcPr>
          <w:p>
            <w:pPr>
              <w:pStyle w:val="TableText"/>
            </w:pPr>
            <w:r/>
            <w:r>
              <w:rPr>
                <w:b w:val="0"/>
              </w:rPr>
              <w:t>Six literal notes</w:t>
            </w:r>
          </w:p>
        </w:tc>
        <w:tc>
          <w:tcPr>
            <w:tcW w:type="dxa" w:w="3389"/>
            <w:vAlign w:val="center"/>
          </w:tcPr>
          <w:p>
            <w:pPr>
              <w:pStyle w:val="TableText"/>
            </w:pPr>
            <w:r/>
            <w:r>
              <w:rPr>
                <w:b w:val="0"/>
              </w:rPr>
              <w:t>Subset/silent strings need preservation rather than filtering away.</w:t>
            </w:r>
          </w:p>
        </w:tc>
        <w:tc>
          <w:tcPr>
            <w:tcW w:type="dxa" w:w="3389"/>
            <w:vAlign w:val="center"/>
          </w:tcPr>
          <w:p>
            <w:pPr>
              <w:pStyle w:val="TableText"/>
            </w:pPr>
            <w:r/>
            <w:r>
              <w:rPr>
                <w:b w:val="0"/>
              </w:rPr>
              <w:t>PARTIALLY SOLVED.</w:t>
            </w:r>
          </w:p>
        </w:tc>
      </w:tr>
      <w:tr>
        <w:tc>
          <w:tcPr>
            <w:tcW w:type="dxa" w:w="3389"/>
            <w:vAlign w:val="center"/>
          </w:tcPr>
          <w:p>
            <w:pPr>
              <w:pStyle w:val="TableText"/>
            </w:pPr>
            <w:r/>
            <w:r>
              <w:rPr>
                <w:b w:val="0"/>
              </w:rPr>
              <w:t>Strum articulation</w:t>
            </w:r>
          </w:p>
        </w:tc>
        <w:tc>
          <w:tcPr>
            <w:tcW w:type="dxa" w:w="3389"/>
            <w:vAlign w:val="center"/>
          </w:tcPr>
          <w:p>
            <w:pPr>
              <w:pStyle w:val="TableText"/>
            </w:pPr>
            <w:r/>
            <w:r>
              <w:rPr>
                <w:b w:val="0"/>
              </w:rPr>
              <w:t>Individual attacks/directions should not collapse into one sustained legato event.</w:t>
            </w:r>
          </w:p>
        </w:tc>
        <w:tc>
          <w:tcPr>
            <w:tcW w:type="dxa" w:w="3389"/>
            <w:vAlign w:val="center"/>
          </w:tcPr>
          <w:p>
            <w:pPr>
              <w:pStyle w:val="TableText"/>
            </w:pPr>
            <w:r/>
            <w:r>
              <w:rPr>
                <w:b w:val="0"/>
              </w:rPr>
              <w:t>UNRESOLVED.</w:t>
            </w:r>
          </w:p>
        </w:tc>
      </w:tr>
    </w:tbl>
    <w:p/>
    <w:p>
      <w:pPr>
        <w:pStyle w:val="CodeBlock"/>
        <w:ind w:left="360" w:right="173"/>
      </w:pPr>
      <w:r>
        <w:t>Packed literal guitar concept:</w:t>
        <w:br/>
        <w:t xml:space="preserve">  for string i = 0..5:</w:t>
        <w:br/>
        <w:t xml:space="preserve">      v = (packed &gt;&gt; (5*i)) &amp; 0x1F</w:t>
        <w:br/>
        <w:t xml:space="preserve">      if v &lt; 16:</w:t>
        <w:br/>
        <w:t xml:space="preserve">          pitch = tuning[i] + v</w:t>
        <w:br/>
        <w:t xml:space="preserve">      else:</w:t>
        <w:br/>
        <w:t xml:space="preserve">          string is silent</w:t>
      </w:r>
    </w:p>
    <w:p>
      <w:r>
        <w:t>A key implementation-design warning: V14 currently returns only sounding strings from the packed guitar voicing. That is musically convenient but loses the fact that a specific attack may intentionally strike only a subset of strings. The mature decoder should carry a six-bit string mask/attack mask alongside the pitches.</w:t>
      </w:r>
    </w:p>
    <w:p>
      <w:pPr>
        <w:pStyle w:val="Heading1"/>
      </w:pPr>
      <w:r>
        <w:t>9. Dynamics: volume is a multi-layer problem</w:t>
      </w:r>
    </w:p>
    <w:p>
      <w:r>
        <w:t>The creator explicitly cautioned that loudness is not controlled by one field. He lists master volume, per-instrument volume, per-track volume changes, and per-note intensity changes, and says that even his own formula is not guaranteed to be perfect. The creator’s current forensic player separately exposes intensity and track-volume information, reinforcing that these must not be collapsed prematurely.</w:t>
      </w:r>
    </w:p>
    <w:p>
      <w:pPr>
        <w:pStyle w:val="CodeBlock"/>
        <w:ind w:left="360" w:right="173"/>
      </w:pPr>
      <w:r>
        <w:t>Conceptual dynamic stack (not yet a confirmed final formula):</w:t>
        <w:br/>
        <w:t xml:space="preserve">  master_volume</w:t>
        <w:br/>
        <w:t xml:space="preserve">        × instrument_volume</w:t>
        <w:br/>
        <w:t xml:space="preserve">        × track_volume(t)</w:t>
        <w:br/>
        <w:t xml:space="preserve">        × note_intensity(event)</w:t>
        <w:br/>
        <w:t xml:space="preserve">        → audible amplitude / MIDI velocity</w:t>
        <w:br/>
        <w:br/>
        <w:t>Do NOT treat this equation as confirmed. It is a model of the data dependencies.</w:t>
      </w:r>
    </w:p>
    <w:p>
      <w:r>
        <w:t>Current status: the data layers are confirmed to exist; the exact combination law and best MIDI representation remain unresolved. This is a major candidate for future hardware listening tests.</w:t>
      </w:r>
    </w:p>
    <w:p>
      <w:r>
        <w:br w:type="page"/>
      </w:r>
    </w:p>
    <w:p>
      <w:pPr>
        <w:pStyle w:val="Heading1"/>
      </w:pPr>
      <w:r>
        <w:t>10. Converter evolution and lessons learned</w:t>
      </w:r>
    </w:p>
    <w:tbl>
      <w:tblPr>
        <w:tblStyle w:val="TableGrid"/>
        <w:tblW w:type="auto" w:w="0"/>
        <w:jc w:val="center"/>
        <w:tblLook w:firstColumn="1" w:firstRow="1" w:lastColumn="0" w:lastRow="0" w:noHBand="0" w:noVBand="1" w:val="04A0"/>
      </w:tblPr>
      <w:tblGrid>
        <w:gridCol w:w="3389"/>
        <w:gridCol w:w="3389"/>
        <w:gridCol w:w="3389"/>
      </w:tblGrid>
      <w:tr>
        <w:tc>
          <w:tcPr>
            <w:tcW w:type="dxa" w:w="3389"/>
            <w:vAlign w:val="center"/>
            <w:shd w:fill="D9E2F3"/>
          </w:tcPr>
          <w:p>
            <w:pPr>
              <w:pStyle w:val="TableText"/>
            </w:pPr>
            <w:r/>
            <w:r>
              <w:rPr>
                <w:b/>
              </w:rPr>
              <w:t>Version</w:t>
            </w:r>
          </w:p>
        </w:tc>
        <w:tc>
          <w:tcPr>
            <w:tcW w:type="dxa" w:w="3389"/>
            <w:vAlign w:val="center"/>
            <w:shd w:fill="D9E2F3"/>
          </w:tcPr>
          <w:p>
            <w:pPr>
              <w:pStyle w:val="TableText"/>
            </w:pPr>
            <w:r/>
            <w:r>
              <w:rPr>
                <w:b/>
              </w:rPr>
              <w:t>Technical change</w:t>
            </w:r>
          </w:p>
        </w:tc>
        <w:tc>
          <w:tcPr>
            <w:tcW w:type="dxa" w:w="3389"/>
            <w:vAlign w:val="center"/>
            <w:shd w:fill="D9E2F3"/>
          </w:tcPr>
          <w:p>
            <w:pPr>
              <w:pStyle w:val="TableText"/>
            </w:pPr>
            <w:r/>
            <w:r>
              <w:rPr>
                <w:b/>
              </w:rPr>
              <w:t>Status / lesson</w:t>
            </w:r>
          </w:p>
        </w:tc>
      </w:tr>
      <w:tr>
        <w:tc>
          <w:tcPr>
            <w:tcW w:type="dxa" w:w="3389"/>
            <w:vAlign w:val="center"/>
          </w:tcPr>
          <w:p>
            <w:pPr>
              <w:pStyle w:val="TableText"/>
            </w:pPr>
            <w:r/>
            <w:r>
              <w:rPr>
                <w:b w:val="0"/>
              </w:rPr>
              <w:t>V11</w:t>
            </w:r>
          </w:p>
        </w:tc>
        <w:tc>
          <w:tcPr>
            <w:tcW w:type="dxa" w:w="3389"/>
            <w:vAlign w:val="center"/>
          </w:tcPr>
          <w:p>
            <w:pPr>
              <w:pStyle w:val="TableText"/>
            </w:pPr>
            <w:r/>
            <w:r>
              <w:rPr>
                <w:b w:val="0"/>
              </w:rPr>
              <w:t>Established the 0xEB/0xED/0xEF native-original-guitar sentinel handling that fixed the previously failing Iori BBP.</w:t>
            </w:r>
          </w:p>
        </w:tc>
        <w:tc>
          <w:tcPr>
            <w:tcW w:type="dxa" w:w="3389"/>
            <w:vAlign w:val="center"/>
          </w:tcPr>
          <w:p>
            <w:pPr>
              <w:pStyle w:val="TableText"/>
            </w:pPr>
            <w:r/>
            <w:r>
              <w:rPr>
                <w:b w:val="0"/>
              </w:rPr>
              <w:t>Important conversion-success fix.</w:t>
            </w:r>
          </w:p>
        </w:tc>
      </w:tr>
      <w:tr>
        <w:tc>
          <w:tcPr>
            <w:tcW w:type="dxa" w:w="3389"/>
            <w:vAlign w:val="center"/>
          </w:tcPr>
          <w:p>
            <w:pPr>
              <w:pStyle w:val="TableText"/>
            </w:pPr>
            <w:r/>
            <w:r>
              <w:rPr>
                <w:b w:val="0"/>
              </w:rPr>
              <w:t>V12</w:t>
            </w:r>
          </w:p>
        </w:tc>
        <w:tc>
          <w:tcPr>
            <w:tcW w:type="dxa" w:w="3389"/>
            <w:vAlign w:val="center"/>
          </w:tcPr>
          <w:p>
            <w:pPr>
              <w:pStyle w:val="TableText"/>
            </w:pPr>
            <w:r/>
            <w:r>
              <w:rPr>
                <w:b w:val="0"/>
              </w:rPr>
              <w:t>Release packaging, batch tooling, regression utility; retained proven decoding core.</w:t>
            </w:r>
          </w:p>
        </w:tc>
        <w:tc>
          <w:tcPr>
            <w:tcW w:type="dxa" w:w="3389"/>
            <w:vAlign w:val="center"/>
          </w:tcPr>
          <w:p>
            <w:pPr>
              <w:pStyle w:val="TableText"/>
            </w:pPr>
            <w:r/>
            <w:r>
              <w:rPr>
                <w:b w:val="0"/>
              </w:rPr>
              <w:t>Baseline packaging milestone.</w:t>
            </w:r>
          </w:p>
        </w:tc>
      </w:tr>
      <w:tr>
        <w:tc>
          <w:tcPr>
            <w:tcW w:type="dxa" w:w="3389"/>
            <w:vAlign w:val="center"/>
          </w:tcPr>
          <w:p>
            <w:pPr>
              <w:pStyle w:val="TableText"/>
            </w:pPr>
            <w:r/>
            <w:r>
              <w:rPr>
                <w:b w:val="0"/>
              </w:rPr>
              <w:t>V13</w:t>
            </w:r>
          </w:p>
        </w:tc>
        <w:tc>
          <w:tcPr>
            <w:tcW w:type="dxa" w:w="3389"/>
            <w:vAlign w:val="center"/>
          </w:tcPr>
          <w:p>
            <w:pPr>
              <w:pStyle w:val="TableText"/>
            </w:pPr>
            <w:r/>
            <w:r>
              <w:rPr>
                <w:b w:val="0"/>
              </w:rPr>
              <w:t>Hardened output writing so locked destinations are distinguished from decode failures.</w:t>
            </w:r>
          </w:p>
        </w:tc>
        <w:tc>
          <w:tcPr>
            <w:tcW w:type="dxa" w:w="3389"/>
            <w:vAlign w:val="center"/>
          </w:tcPr>
          <w:p>
            <w:pPr>
              <w:pStyle w:val="TableText"/>
            </w:pPr>
            <w:r/>
            <w:r>
              <w:rPr>
                <w:b w:val="0"/>
              </w:rPr>
              <w:t>Operational robustness fix; separate decode vs I/O failure.</w:t>
            </w:r>
          </w:p>
        </w:tc>
      </w:tr>
      <w:tr>
        <w:tc>
          <w:tcPr>
            <w:tcW w:type="dxa" w:w="3389"/>
            <w:vAlign w:val="center"/>
          </w:tcPr>
          <w:p>
            <w:pPr>
              <w:pStyle w:val="TableText"/>
            </w:pPr>
            <w:r/>
            <w:r>
              <w:rPr>
                <w:b w:val="0"/>
              </w:rPr>
              <w:t>V14</w:t>
            </w:r>
          </w:p>
        </w:tc>
        <w:tc>
          <w:tcPr>
            <w:tcW w:type="dxa" w:w="3389"/>
            <w:vAlign w:val="center"/>
          </w:tcPr>
          <w:p>
            <w:pPr>
              <w:pStyle w:val="TableText"/>
            </w:pPr>
            <w:r/>
            <w:r>
              <w:rPr>
                <w:b w:val="0"/>
              </w:rPr>
              <w:t>Corrected drum decoding and representation; original-hardware listening confirmed audible drums.</w:t>
            </w:r>
          </w:p>
        </w:tc>
        <w:tc>
          <w:tcPr>
            <w:tcW w:type="dxa" w:w="3389"/>
            <w:vAlign w:val="center"/>
          </w:tcPr>
          <w:p>
            <w:pPr>
              <w:pStyle w:val="TableText"/>
            </w:pPr>
            <w:r/>
            <w:r>
              <w:rPr>
                <w:b w:val="0"/>
              </w:rPr>
              <w:t>First strong end-to-end musical correction.</w:t>
            </w:r>
          </w:p>
        </w:tc>
      </w:tr>
      <w:tr>
        <w:tc>
          <w:tcPr>
            <w:tcW w:type="dxa" w:w="3389"/>
            <w:vAlign w:val="center"/>
          </w:tcPr>
          <w:p>
            <w:pPr>
              <w:pStyle w:val="TableText"/>
            </w:pPr>
            <w:r/>
            <w:r>
              <w:rPr>
                <w:b w:val="0"/>
              </w:rPr>
              <w:t>V15 candidate</w:t>
            </w:r>
          </w:p>
        </w:tc>
        <w:tc>
          <w:tcPr>
            <w:tcW w:type="dxa" w:w="3389"/>
            <w:vAlign w:val="center"/>
          </w:tcPr>
          <w:p>
            <w:pPr>
              <w:pStyle w:val="TableText"/>
            </w:pPr>
            <w:r/>
            <w:r>
              <w:rPr>
                <w:b w:val="0"/>
              </w:rPr>
              <w:t>Tried treating some extended piano IDs as literal MIDI pitches.</w:t>
            </w:r>
          </w:p>
        </w:tc>
        <w:tc>
          <w:tcPr>
            <w:tcW w:type="dxa" w:w="3389"/>
            <w:vAlign w:val="center"/>
          </w:tcPr>
          <w:p>
            <w:pPr>
              <w:pStyle w:val="TableText"/>
            </w:pPr>
            <w:r/>
            <w:r>
              <w:rPr>
                <w:b w:val="0"/>
              </w:rPr>
              <w:t>REJECTED: wrong semantic model.</w:t>
            </w:r>
          </w:p>
        </w:tc>
      </w:tr>
      <w:tr>
        <w:tc>
          <w:tcPr>
            <w:tcW w:type="dxa" w:w="3389"/>
            <w:vAlign w:val="center"/>
          </w:tcPr>
          <w:p>
            <w:pPr>
              <w:pStyle w:val="TableText"/>
            </w:pPr>
            <w:r/>
            <w:r>
              <w:rPr>
                <w:b w:val="0"/>
              </w:rPr>
              <w:t>Audit V1</w:t>
            </w:r>
          </w:p>
        </w:tc>
        <w:tc>
          <w:tcPr>
            <w:tcW w:type="dxa" w:w="3389"/>
            <w:vAlign w:val="center"/>
          </w:tcPr>
          <w:p>
            <w:pPr>
              <w:pStyle w:val="TableText"/>
            </w:pPr>
            <w:r/>
            <w:r>
              <w:rPr>
                <w:b w:val="0"/>
              </w:rPr>
              <w:t>Initial sound-coverage audit.</w:t>
            </w:r>
          </w:p>
        </w:tc>
        <w:tc>
          <w:tcPr>
            <w:tcW w:type="dxa" w:w="3389"/>
            <w:vAlign w:val="center"/>
          </w:tcPr>
          <w:p>
            <w:pPr>
              <w:pStyle w:val="TableText"/>
            </w:pPr>
            <w:r/>
            <w:r>
              <w:rPr>
                <w:b w:val="0"/>
              </w:rPr>
              <w:t>Useful framework, but incorrectly counted high-bit continuation states as unresolved piano IDs.</w:t>
            </w:r>
          </w:p>
        </w:tc>
      </w:tr>
      <w:tr>
        <w:tc>
          <w:tcPr>
            <w:tcW w:type="dxa" w:w="3389"/>
            <w:vAlign w:val="center"/>
          </w:tcPr>
          <w:p>
            <w:pPr>
              <w:pStyle w:val="TableText"/>
            </w:pPr>
            <w:r/>
            <w:r>
              <w:rPr>
                <w:b w:val="0"/>
              </w:rPr>
              <w:t>Audit V2</w:t>
            </w:r>
          </w:p>
        </w:tc>
        <w:tc>
          <w:tcPr>
            <w:tcW w:type="dxa" w:w="3389"/>
            <w:vAlign w:val="center"/>
          </w:tcPr>
          <w:p>
            <w:pPr>
              <w:pStyle w:val="TableText"/>
            </w:pPr>
            <w:r/>
            <w:r>
              <w:rPr>
                <w:b w:val="0"/>
              </w:rPr>
              <w:t>Corrected continuation classification; isolated genuine unresolved piano descriptor questions.</w:t>
            </w:r>
          </w:p>
        </w:tc>
        <w:tc>
          <w:tcPr>
            <w:tcW w:type="dxa" w:w="3389"/>
            <w:vAlign w:val="center"/>
          </w:tcPr>
          <w:p>
            <w:pPr>
              <w:pStyle w:val="TableText"/>
            </w:pPr>
            <w:r/>
            <w:r>
              <w:rPr>
                <w:b w:val="0"/>
              </w:rPr>
              <w:t>Better diagnostic baseline.</w:t>
            </w:r>
          </w:p>
        </w:tc>
      </w:tr>
      <w:tr>
        <w:tc>
          <w:tcPr>
            <w:tcW w:type="dxa" w:w="3389"/>
            <w:vAlign w:val="center"/>
          </w:tcPr>
          <w:p>
            <w:pPr>
              <w:pStyle w:val="TableText"/>
            </w:pPr>
            <w:r/>
            <w:r>
              <w:rPr>
                <w:b w:val="0"/>
              </w:rPr>
              <w:t>Current research</w:t>
            </w:r>
          </w:p>
        </w:tc>
        <w:tc>
          <w:tcPr>
            <w:tcW w:type="dxa" w:w="3389"/>
            <w:vAlign w:val="center"/>
          </w:tcPr>
          <w:p>
            <w:pPr>
              <w:pStyle w:val="TableText"/>
            </w:pPr>
            <w:r/>
            <w:r>
              <w:rPr>
                <w:b w:val="0"/>
              </w:rPr>
              <w:t>Binary/format analysis guided by creator’s semantic statements; no speculative release while piano resolver is unproven.</w:t>
            </w:r>
          </w:p>
        </w:tc>
        <w:tc>
          <w:tcPr>
            <w:tcW w:type="dxa" w:w="3389"/>
            <w:vAlign w:val="center"/>
          </w:tcPr>
          <w:p>
            <w:pPr>
              <w:pStyle w:val="TableText"/>
            </w:pPr>
            <w:r/>
            <w:r>
              <w:rPr>
                <w:b w:val="0"/>
              </w:rPr>
              <w:t>Current phase.</w:t>
            </w:r>
          </w:p>
        </w:tc>
      </w:tr>
    </w:tbl>
    <w:p/>
    <w:p>
      <w:r>
        <w:t>General engineering lesson: every revision should separate parser success, semantic decoding, MIDI-event validity, output-file success, and acoustic validation. A single “conversion succeeded” boolean is insufficient.</w:t>
      </w:r>
    </w:p>
    <w:p>
      <w:pPr>
        <w:pStyle w:val="Heading1"/>
      </w:pPr>
      <w:r>
        <w:t>11. Sound-coverage audit specification</w:t>
      </w:r>
    </w:p>
    <w:p>
      <w:r>
        <w:t>The audit is intended to catch the exact class of failure exposed by the drums: “the BBP encodes a sound, but the resulting MIDI does not contain an effective audible event.” It is therefore an event-preservation test, not a timbre-identification system.</w:t>
      </w:r>
    </w:p>
    <w:tbl>
      <w:tblPr>
        <w:tblStyle w:val="TableGrid"/>
        <w:tblW w:type="auto" w:w="0"/>
        <w:jc w:val="center"/>
        <w:tblLook w:firstColumn="1" w:firstRow="1" w:lastColumn="0" w:lastRow="0" w:noHBand="0" w:noVBand="1" w:val="04A0"/>
      </w:tblPr>
      <w:tblGrid>
        <w:gridCol w:w="3389"/>
        <w:gridCol w:w="3389"/>
        <w:gridCol w:w="3389"/>
      </w:tblGrid>
      <w:tr>
        <w:tc>
          <w:tcPr>
            <w:tcW w:type="dxa" w:w="3389"/>
            <w:vAlign w:val="center"/>
            <w:shd w:fill="D9E2F3"/>
          </w:tcPr>
          <w:p>
            <w:pPr>
              <w:pStyle w:val="TableText"/>
            </w:pPr>
            <w:r/>
            <w:r>
              <w:rPr>
                <w:b/>
              </w:rPr>
              <w:t>Audit layer</w:t>
            </w:r>
          </w:p>
        </w:tc>
        <w:tc>
          <w:tcPr>
            <w:tcW w:type="dxa" w:w="3389"/>
            <w:vAlign w:val="center"/>
            <w:shd w:fill="D9E2F3"/>
          </w:tcPr>
          <w:p>
            <w:pPr>
              <w:pStyle w:val="TableText"/>
            </w:pPr>
            <w:r/>
            <w:r>
              <w:rPr>
                <w:b/>
              </w:rPr>
              <w:t>Required metric</w:t>
            </w:r>
          </w:p>
        </w:tc>
        <w:tc>
          <w:tcPr>
            <w:tcW w:type="dxa" w:w="3389"/>
            <w:vAlign w:val="center"/>
            <w:shd w:fill="D9E2F3"/>
          </w:tcPr>
          <w:p>
            <w:pPr>
              <w:pStyle w:val="TableText"/>
            </w:pPr>
            <w:r/>
            <w:r>
              <w:rPr>
                <w:b/>
              </w:rPr>
              <w:t>Failure condition</w:t>
            </w:r>
          </w:p>
        </w:tc>
      </w:tr>
      <w:tr>
        <w:tc>
          <w:tcPr>
            <w:tcW w:type="dxa" w:w="3389"/>
            <w:vAlign w:val="center"/>
          </w:tcPr>
          <w:p>
            <w:pPr>
              <w:pStyle w:val="TableText"/>
            </w:pPr>
            <w:r/>
            <w:r>
              <w:rPr>
                <w:b w:val="0"/>
              </w:rPr>
              <w:t>Raw BBP events</w:t>
            </w:r>
          </w:p>
        </w:tc>
        <w:tc>
          <w:tcPr>
            <w:tcW w:type="dxa" w:w="3389"/>
            <w:vAlign w:val="center"/>
          </w:tcPr>
          <w:p>
            <w:pPr>
              <w:pStyle w:val="TableText"/>
            </w:pPr>
            <w:r/>
            <w:r>
              <w:rPr>
                <w:b w:val="0"/>
              </w:rPr>
              <w:t>Count of attack/event tokens by channel and play type.</w:t>
            </w:r>
          </w:p>
        </w:tc>
        <w:tc>
          <w:tcPr>
            <w:tcW w:type="dxa" w:w="3389"/>
            <w:vAlign w:val="center"/>
          </w:tcPr>
          <w:p>
            <w:pPr>
              <w:pStyle w:val="TableText"/>
            </w:pPr>
            <w:r/>
            <w:r>
              <w:rPr>
                <w:b w:val="0"/>
              </w:rPr>
              <w:t>Unexpectedly skipped or malformed tokens.</w:t>
            </w:r>
          </w:p>
        </w:tc>
      </w:tr>
      <w:tr>
        <w:tc>
          <w:tcPr>
            <w:tcW w:type="dxa" w:w="3389"/>
            <w:vAlign w:val="center"/>
          </w:tcPr>
          <w:p>
            <w:pPr>
              <w:pStyle w:val="TableText"/>
            </w:pPr>
            <w:r/>
            <w:r>
              <w:rPr>
                <w:b w:val="0"/>
              </w:rPr>
              <w:t>Semantic resolver</w:t>
            </w:r>
          </w:p>
        </w:tc>
        <w:tc>
          <w:tcPr>
            <w:tcW w:type="dxa" w:w="3389"/>
            <w:vAlign w:val="center"/>
          </w:tcPr>
          <w:p>
            <w:pPr>
              <w:pStyle w:val="TableText"/>
            </w:pPr>
            <w:r/>
            <w:r>
              <w:rPr>
                <w:b w:val="0"/>
              </w:rPr>
              <w:t>Decoded event count, intentional holds/releases, unresolved descriptors.</w:t>
            </w:r>
          </w:p>
        </w:tc>
        <w:tc>
          <w:tcPr>
            <w:tcW w:type="dxa" w:w="3389"/>
            <w:vAlign w:val="center"/>
          </w:tcPr>
          <w:p>
            <w:pPr>
              <w:pStyle w:val="TableText"/>
            </w:pPr>
            <w:r/>
            <w:r>
              <w:rPr>
                <w:b w:val="0"/>
              </w:rPr>
              <w:t>Any unexplained event loss.</w:t>
            </w:r>
          </w:p>
        </w:tc>
      </w:tr>
      <w:tr>
        <w:tc>
          <w:tcPr>
            <w:tcW w:type="dxa" w:w="3389"/>
            <w:vAlign w:val="center"/>
          </w:tcPr>
          <w:p>
            <w:pPr>
              <w:pStyle w:val="TableText"/>
            </w:pPr>
            <w:r/>
            <w:r>
              <w:rPr>
                <w:b w:val="0"/>
              </w:rPr>
              <w:t>MIDI event validity</w:t>
            </w:r>
          </w:p>
        </w:tc>
        <w:tc>
          <w:tcPr>
            <w:tcW w:type="dxa" w:w="3389"/>
            <w:vAlign w:val="center"/>
          </w:tcPr>
          <w:p>
            <w:pPr>
              <w:pStyle w:val="TableText"/>
            </w:pPr>
            <w:r/>
            <w:r>
              <w:rPr>
                <w:b w:val="0"/>
              </w:rPr>
              <w:t>NoteOn/Off structure, valid note range, velocity, channel assignment.</w:t>
            </w:r>
          </w:p>
        </w:tc>
        <w:tc>
          <w:tcPr>
            <w:tcW w:type="dxa" w:w="3389"/>
            <w:vAlign w:val="center"/>
          </w:tcPr>
          <w:p>
            <w:pPr>
              <w:pStyle w:val="TableText"/>
            </w:pPr>
            <w:r/>
            <w:r>
              <w:rPr>
                <w:b w:val="0"/>
              </w:rPr>
              <w:t>Invalid note, zero velocity when not intended, malformed event sequencing.</w:t>
            </w:r>
          </w:p>
        </w:tc>
      </w:tr>
      <w:tr>
        <w:tc>
          <w:tcPr>
            <w:tcW w:type="dxa" w:w="3389"/>
            <w:vAlign w:val="center"/>
          </w:tcPr>
          <w:p>
            <w:pPr>
              <w:pStyle w:val="TableText"/>
            </w:pPr>
            <w:r/>
            <w:r>
              <w:rPr>
                <w:b w:val="0"/>
              </w:rPr>
              <w:t>Percussion validity</w:t>
            </w:r>
          </w:p>
        </w:tc>
        <w:tc>
          <w:tcPr>
            <w:tcW w:type="dxa" w:w="3389"/>
            <w:vAlign w:val="center"/>
          </w:tcPr>
          <w:p>
            <w:pPr>
              <w:pStyle w:val="TableText"/>
            </w:pPr>
            <w:r/>
            <w:r>
              <w:rPr>
                <w:b w:val="0"/>
              </w:rPr>
              <w:t>Trigger count, channel 10, mapped drum pitch.</w:t>
            </w:r>
          </w:p>
        </w:tc>
        <w:tc>
          <w:tcPr>
            <w:tcW w:type="dxa" w:w="3389"/>
            <w:vAlign w:val="center"/>
          </w:tcPr>
          <w:p>
            <w:pPr>
              <w:pStyle w:val="TableText"/>
            </w:pPr>
            <w:r/>
            <w:r>
              <w:rPr>
                <w:b w:val="0"/>
              </w:rPr>
              <w:t>Missing/unmapped drum trigger or zero-effect representation.</w:t>
            </w:r>
          </w:p>
        </w:tc>
      </w:tr>
      <w:tr>
        <w:tc>
          <w:tcPr>
            <w:tcW w:type="dxa" w:w="3389"/>
            <w:vAlign w:val="center"/>
          </w:tcPr>
          <w:p>
            <w:pPr>
              <w:pStyle w:val="TableText"/>
            </w:pPr>
            <w:r/>
            <w:r>
              <w:rPr>
                <w:b w:val="0"/>
              </w:rPr>
              <w:t>Chord expansion</w:t>
            </w:r>
          </w:p>
        </w:tc>
        <w:tc>
          <w:tcPr>
            <w:tcW w:type="dxa" w:w="3389"/>
            <w:vAlign w:val="center"/>
          </w:tcPr>
          <w:p>
            <w:pPr>
              <w:pStyle w:val="TableText"/>
            </w:pPr>
            <w:r/>
            <w:r>
              <w:rPr>
                <w:b w:val="0"/>
              </w:rPr>
              <w:t>Input descriptor count vs generated pitch count.</w:t>
            </w:r>
          </w:p>
        </w:tc>
        <w:tc>
          <w:tcPr>
            <w:tcW w:type="dxa" w:w="3389"/>
            <w:vAlign w:val="center"/>
          </w:tcPr>
          <w:p>
            <w:pPr>
              <w:pStyle w:val="TableText"/>
            </w:pPr>
            <w:r/>
            <w:r>
              <w:rPr>
                <w:b w:val="0"/>
              </w:rPr>
              <w:t>Descriptor resolves to no pitches without an explicit reason.</w:t>
            </w:r>
          </w:p>
        </w:tc>
      </w:tr>
      <w:tr>
        <w:tc>
          <w:tcPr>
            <w:tcW w:type="dxa" w:w="3389"/>
            <w:vAlign w:val="center"/>
          </w:tcPr>
          <w:p>
            <w:pPr>
              <w:pStyle w:val="TableText"/>
            </w:pPr>
            <w:r/>
            <w:r>
              <w:rPr>
                <w:b w:val="0"/>
              </w:rPr>
              <w:t>Guitar articulation</w:t>
            </w:r>
          </w:p>
        </w:tc>
        <w:tc>
          <w:tcPr>
            <w:tcW w:type="dxa" w:w="3389"/>
            <w:vAlign w:val="center"/>
          </w:tcPr>
          <w:p>
            <w:pPr>
              <w:pStyle w:val="TableText"/>
            </w:pPr>
            <w:r/>
            <w:r>
              <w:rPr>
                <w:b w:val="0"/>
              </w:rPr>
              <w:t>String mask, attack count, strum direction/ordering.</w:t>
            </w:r>
          </w:p>
        </w:tc>
        <w:tc>
          <w:tcPr>
            <w:tcW w:type="dxa" w:w="3389"/>
            <w:vAlign w:val="center"/>
          </w:tcPr>
          <w:p>
            <w:pPr>
              <w:pStyle w:val="TableText"/>
            </w:pPr>
            <w:r/>
            <w:r>
              <w:rPr>
                <w:b w:val="0"/>
              </w:rPr>
              <w:t>Literal strings or subset attacks silently collapsed.</w:t>
            </w:r>
          </w:p>
        </w:tc>
      </w:tr>
      <w:tr>
        <w:tc>
          <w:tcPr>
            <w:tcW w:type="dxa" w:w="3389"/>
            <w:vAlign w:val="center"/>
          </w:tcPr>
          <w:p>
            <w:pPr>
              <w:pStyle w:val="TableText"/>
            </w:pPr>
            <w:r/>
            <w:r>
              <w:rPr>
                <w:b w:val="0"/>
              </w:rPr>
              <w:t>Dynamics</w:t>
            </w:r>
          </w:p>
        </w:tc>
        <w:tc>
          <w:tcPr>
            <w:tcW w:type="dxa" w:w="3389"/>
            <w:vAlign w:val="center"/>
          </w:tcPr>
          <w:p>
            <w:pPr>
              <w:pStyle w:val="TableText"/>
            </w:pPr>
            <w:r/>
            <w:r>
              <w:rPr>
                <w:b w:val="0"/>
              </w:rPr>
              <w:t>Track volume/intensity captured separately.</w:t>
            </w:r>
          </w:p>
        </w:tc>
        <w:tc>
          <w:tcPr>
            <w:tcW w:type="dxa" w:w="3389"/>
            <w:vAlign w:val="center"/>
          </w:tcPr>
          <w:p>
            <w:pPr>
              <w:pStyle w:val="TableText"/>
            </w:pPr>
            <w:r/>
            <w:r>
              <w:rPr>
                <w:b w:val="0"/>
              </w:rPr>
              <w:t>Dynamic information silently discarded.</w:t>
            </w:r>
          </w:p>
        </w:tc>
      </w:tr>
      <w:tr>
        <w:tc>
          <w:tcPr>
            <w:tcW w:type="dxa" w:w="3389"/>
            <w:vAlign w:val="center"/>
          </w:tcPr>
          <w:p>
            <w:pPr>
              <w:pStyle w:val="TableText"/>
            </w:pPr>
            <w:r/>
            <w:r>
              <w:rPr>
                <w:b w:val="0"/>
              </w:rPr>
              <w:t>End-to-end</w:t>
            </w:r>
          </w:p>
        </w:tc>
        <w:tc>
          <w:tcPr>
            <w:tcW w:type="dxa" w:w="3389"/>
            <w:vAlign w:val="center"/>
          </w:tcPr>
          <w:p>
            <w:pPr>
              <w:pStyle w:val="TableText"/>
            </w:pPr>
            <w:r/>
            <w:r>
              <w:rPr>
                <w:b w:val="0"/>
              </w:rPr>
              <w:t>User hardware or trustworthy synth listening for targeted cases.</w:t>
            </w:r>
          </w:p>
        </w:tc>
        <w:tc>
          <w:tcPr>
            <w:tcW w:type="dxa" w:w="3389"/>
            <w:vAlign w:val="center"/>
          </w:tcPr>
          <w:p>
            <w:pPr>
              <w:pStyle w:val="TableText"/>
            </w:pPr>
            <w:r/>
            <w:r>
              <w:rPr>
                <w:b w:val="0"/>
              </w:rPr>
              <w:t>Audible mismatch despite structural completeness.</w:t>
            </w:r>
          </w:p>
        </w:tc>
      </w:tr>
    </w:tbl>
    <w:p/>
    <w:p>
      <w:pPr>
        <w:pStyle w:val="Heading1"/>
      </w:pPr>
      <w:r>
        <w:t>12. Safe validation protocol for future releases</w:t>
      </w:r>
    </w:p>
    <w:p>
      <w:r>
        <w:t>No algorithmic change should be promoted merely because it produces a plausible MIDI. The recommended release gate is layered:</w:t>
      </w:r>
    </w:p>
    <w:p>
      <w:pPr>
        <w:pStyle w:val="ListBullet"/>
      </w:pPr>
      <w:r>
        <w:t>Run the entire existing corpus to detect regressions in parsing and output-file handling.</w:t>
      </w:r>
    </w:p>
    <w:p>
      <w:pPr>
        <w:pStyle w:val="ListBullet"/>
      </w:pPr>
      <w:r>
        <w:t>Run the sound-coverage audit and require every known musical event to be classified as decoded, held, released, intentionally silent, or unresolved with a recorded reason.</w:t>
      </w:r>
    </w:p>
    <w:p>
      <w:pPr>
        <w:pStyle w:val="ListBullet"/>
      </w:pPr>
      <w:r>
        <w:t>Run targeted synthetic/edge cases for any newly implemented piano, guitar, drum, or dynamics rule.</w:t>
      </w:r>
    </w:p>
    <w:p>
      <w:pPr>
        <w:pStyle w:val="ListBullet"/>
      </w:pPr>
      <w:r>
        <w:t>Inspect MIDI structure for audible-event validity; percussion in particular must not regress to same-tick NoteOn/NoteOff.</w:t>
      </w:r>
    </w:p>
    <w:p>
      <w:pPr>
        <w:pStyle w:val="ListBullet"/>
      </w:pPr>
      <w:r>
        <w:t>Use original-hardware listening for at least one representative example of every newly changed instrument behavior when possible.</w:t>
      </w:r>
    </w:p>
    <w:p>
      <w:pPr>
        <w:pStyle w:val="ListBullet"/>
      </w:pPr>
      <w:r>
        <w:t>Only then create a numbered converter release, with a changelog naming the evidence behind each rule.</w:t>
      </w:r>
    </w:p>
    <w:p>
      <w:pPr>
        <w:pStyle w:val="Heading1"/>
      </w:pPr>
      <w:r>
        <w:t>13. Intended creator-review packet</w:t>
      </w:r>
    </w:p>
    <w:p>
      <w:r>
        <w:t>At the end of this research cycle, this report should be given to the Degausser creator as a technical review document. The request should not be “is our converter good?” It should be a claim-by-claim validation request.</w:t>
      </w:r>
    </w:p>
    <w:tbl>
      <w:tblPr>
        <w:tblStyle w:val="TableGrid"/>
        <w:tblW w:type="auto" w:w="0"/>
        <w:jc w:val="center"/>
        <w:tblLook w:firstColumn="1" w:firstRow="1" w:lastColumn="0" w:lastRow="0" w:noHBand="0" w:noVBand="1" w:val="04A0"/>
      </w:tblPr>
      <w:tblGrid>
        <w:gridCol w:w="5083"/>
        <w:gridCol w:w="5083"/>
      </w:tblGrid>
      <w:tr>
        <w:tc>
          <w:tcPr>
            <w:tcW w:type="dxa" w:w="5083"/>
            <w:vAlign w:val="center"/>
            <w:shd w:fill="D9E2F3"/>
          </w:tcPr>
          <w:p>
            <w:pPr>
              <w:pStyle w:val="TableText"/>
            </w:pPr>
            <w:r/>
            <w:r>
              <w:rPr>
                <w:b/>
              </w:rPr>
              <w:t>Topic for creator review</w:t>
            </w:r>
          </w:p>
        </w:tc>
        <w:tc>
          <w:tcPr>
            <w:tcW w:type="dxa" w:w="5083"/>
            <w:vAlign w:val="center"/>
            <w:shd w:fill="D9E2F3"/>
          </w:tcPr>
          <w:p>
            <w:pPr>
              <w:pStyle w:val="TableText"/>
            </w:pPr>
            <w:r/>
            <w:r>
              <w:rPr>
                <w:b/>
              </w:rPr>
              <w:t>Question to ask</w:t>
            </w:r>
          </w:p>
        </w:tc>
      </w:tr>
      <w:tr>
        <w:tc>
          <w:tcPr>
            <w:tcW w:type="dxa" w:w="5083"/>
            <w:vAlign w:val="center"/>
          </w:tcPr>
          <w:p>
            <w:pPr>
              <w:pStyle w:val="TableText"/>
            </w:pPr>
            <w:r/>
            <w:r>
              <w:rPr>
                <w:b w:val="0"/>
              </w:rPr>
              <w:t>Piano descriptor</w:t>
            </w:r>
          </w:p>
        </w:tc>
        <w:tc>
          <w:tcPr>
            <w:tcW w:type="dxa" w:w="5083"/>
            <w:vAlign w:val="center"/>
          </w:tcPr>
          <w:p>
            <w:pPr>
              <w:pStyle w:val="TableText"/>
            </w:pPr>
            <w:r/>
            <w:r>
              <w:rPr>
                <w:b w:val="0"/>
              </w:rPr>
              <w:t>What exact bit/field semantics turn native (index, rawRoot) into generated four-note piano output?</w:t>
            </w:r>
          </w:p>
        </w:tc>
      </w:tr>
      <w:tr>
        <w:tc>
          <w:tcPr>
            <w:tcW w:type="dxa" w:w="5083"/>
            <w:vAlign w:val="center"/>
          </w:tcPr>
          <w:p>
            <w:pPr>
              <w:pStyle w:val="TableText"/>
            </w:pPr>
            <w:r/>
            <w:r>
              <w:rPr>
                <w:b w:val="0"/>
              </w:rPr>
              <w:t>Piano literal flavor</w:t>
            </w:r>
          </w:p>
        </w:tc>
        <w:tc>
          <w:tcPr>
            <w:tcW w:type="dxa" w:w="5083"/>
            <w:vAlign w:val="center"/>
          </w:tcPr>
          <w:p>
            <w:pPr>
              <w:pStyle w:val="TableText"/>
            </w:pPr>
            <w:r/>
            <w:r>
              <w:rPr>
                <w:b w:val="0"/>
              </w:rPr>
              <w:t>What selects the four-literal-note representation and how does an attack reference it?</w:t>
            </w:r>
          </w:p>
        </w:tc>
      </w:tr>
      <w:tr>
        <w:tc>
          <w:tcPr>
            <w:tcW w:type="dxa" w:w="5083"/>
            <w:vAlign w:val="center"/>
          </w:tcPr>
          <w:p>
            <w:pPr>
              <w:pStyle w:val="TableText"/>
            </w:pPr>
            <w:r/>
            <w:r>
              <w:rPr>
                <w:b w:val="0"/>
              </w:rPr>
              <w:t>Guitar generated flavor</w:t>
            </w:r>
          </w:p>
        </w:tc>
        <w:tc>
          <w:tcPr>
            <w:tcW w:type="dxa" w:w="5083"/>
            <w:vAlign w:val="center"/>
          </w:tcPr>
          <w:p>
            <w:pPr>
              <w:pStyle w:val="TableText"/>
            </w:pPr>
            <w:r/>
            <w:r>
              <w:rPr>
                <w:b w:val="0"/>
              </w:rPr>
              <w:t>What exact root/descriptor algorithm generates the chord?</w:t>
            </w:r>
          </w:p>
        </w:tc>
      </w:tr>
      <w:tr>
        <w:tc>
          <w:tcPr>
            <w:tcW w:type="dxa" w:w="5083"/>
            <w:vAlign w:val="center"/>
          </w:tcPr>
          <w:p>
            <w:pPr>
              <w:pStyle w:val="TableText"/>
            </w:pPr>
            <w:r/>
            <w:r>
              <w:rPr>
                <w:b w:val="0"/>
              </w:rPr>
              <w:t>Guitar literal flavor</w:t>
            </w:r>
          </w:p>
        </w:tc>
        <w:tc>
          <w:tcPr>
            <w:tcW w:type="dxa" w:w="5083"/>
            <w:vAlign w:val="center"/>
          </w:tcPr>
          <w:p>
            <w:pPr>
              <w:pStyle w:val="TableText"/>
            </w:pPr>
            <w:r/>
            <w:r>
              <w:rPr>
                <w:b w:val="0"/>
              </w:rPr>
              <w:t>How are six literal strings and silent strings encoded, and how is the subset-strum mask represented?</w:t>
            </w:r>
          </w:p>
        </w:tc>
      </w:tr>
      <w:tr>
        <w:tc>
          <w:tcPr>
            <w:tcW w:type="dxa" w:w="5083"/>
            <w:vAlign w:val="center"/>
          </w:tcPr>
          <w:p>
            <w:pPr>
              <w:pStyle w:val="TableText"/>
            </w:pPr>
            <w:r/>
            <w:r>
              <w:rPr>
                <w:b w:val="0"/>
              </w:rPr>
              <w:t>Guitar attack</w:t>
            </w:r>
          </w:p>
        </w:tc>
        <w:tc>
          <w:tcPr>
            <w:tcW w:type="dxa" w:w="5083"/>
            <w:vAlign w:val="center"/>
          </w:tcPr>
          <w:p>
            <w:pPr>
              <w:pStyle w:val="TableText"/>
            </w:pPr>
            <w:r/>
            <w:r>
              <w:rPr>
                <w:b w:val="0"/>
              </w:rPr>
              <w:t>How are consecutive strums, attack timing, order, and direction represented?</w:t>
            </w:r>
          </w:p>
        </w:tc>
      </w:tr>
      <w:tr>
        <w:tc>
          <w:tcPr>
            <w:tcW w:type="dxa" w:w="5083"/>
            <w:vAlign w:val="center"/>
          </w:tcPr>
          <w:p>
            <w:pPr>
              <w:pStyle w:val="TableText"/>
            </w:pPr>
            <w:r/>
            <w:r>
              <w:rPr>
                <w:b w:val="0"/>
              </w:rPr>
              <w:t>Dynamics</w:t>
            </w:r>
          </w:p>
        </w:tc>
        <w:tc>
          <w:tcPr>
            <w:tcW w:type="dxa" w:w="5083"/>
            <w:vAlign w:val="center"/>
          </w:tcPr>
          <w:p>
            <w:pPr>
              <w:pStyle w:val="TableText"/>
            </w:pPr>
            <w:r/>
            <w:r>
              <w:rPr>
                <w:b w:val="0"/>
              </w:rPr>
              <w:t>What are the exact stored ranges and combination rules for master/instrument/track/intensity layers?</w:t>
            </w:r>
          </w:p>
        </w:tc>
      </w:tr>
      <w:tr>
        <w:tc>
          <w:tcPr>
            <w:tcW w:type="dxa" w:w="5083"/>
            <w:vAlign w:val="center"/>
          </w:tcPr>
          <w:p>
            <w:pPr>
              <w:pStyle w:val="TableText"/>
            </w:pPr>
            <w:r/>
            <w:r>
              <w:rPr>
                <w:b w:val="0"/>
              </w:rPr>
              <w:t>Unknown/sentinel values</w:t>
            </w:r>
          </w:p>
        </w:tc>
        <w:tc>
          <w:tcPr>
            <w:tcW w:type="dxa" w:w="5083"/>
            <w:vAlign w:val="center"/>
          </w:tcPr>
          <w:p>
            <w:pPr>
              <w:pStyle w:val="TableText"/>
            </w:pPr>
            <w:r/>
            <w:r>
              <w:rPr>
                <w:b w:val="0"/>
              </w:rPr>
              <w:t>Which raw byte values are semantic notes, continuations, releases, mapping sentinels, or unused values?</w:t>
            </w:r>
          </w:p>
        </w:tc>
      </w:tr>
    </w:tbl>
    <w:p/>
    <w:p>
      <w:r>
        <w:br w:type="page"/>
      </w:r>
    </w:p>
    <w:p>
      <w:pPr>
        <w:pStyle w:val="Heading1"/>
      </w:pPr>
      <w:r>
        <w:t>14. Source and artifact register</w:t>
      </w:r>
    </w:p>
    <w:p>
      <w:r>
        <w:t>Public sources used for technical context:</w:t>
      </w:r>
    </w:p>
    <w:p>
      <w:pPr>
        <w:pStyle w:val="ListBullet"/>
      </w:pPr>
      <w:r>
        <w:t>Degausser repository: https://github.com/AdibSurani/Degausser</w:t>
      </w:r>
    </w:p>
    <w:p>
      <w:pPr>
        <w:pStyle w:val="ListBullet"/>
      </w:pPr>
      <w:r>
        <w:t>BBPRecord.cs: https://github.com/AdibSurani/Degausser/blob/master/src/BBPRecord.cs</w:t>
      </w:r>
    </w:p>
    <w:p>
      <w:pPr>
        <w:pStyle w:val="ListBullet"/>
      </w:pPr>
      <w:r>
        <w:t>Gak / format structures: https://github.com/AdibSurani/Degausser/tree/master/src</w:t>
      </w:r>
    </w:p>
    <w:p>
      <w:pPr>
        <w:pStyle w:val="ListBullet"/>
      </w:pPr>
      <w:r>
        <w:t>Creator’s current BBP2MIDI web application: https://adib.fourplusfive.com/bbp2midi/v1.0/</w:t>
      </w:r>
    </w:p>
    <w:p>
      <w:pPr>
        <w:pStyle w:val="ListBullet"/>
      </w:pPr>
      <w:r>
        <w:t>BDX/format documentation referenced during analysis: https://bbptrdintro.hateblo.jp/</w:t>
      </w:r>
    </w:p>
    <w:p>
      <w:r>
        <w:t>User-supplied artifacts currently relevant to the investigation:</w:t>
      </w:r>
    </w:p>
    <w:p>
      <w:pPr>
        <w:pStyle w:val="ListBullet"/>
      </w:pPr>
      <w:r>
        <w:t>BDX2BBP_release_1.0.2.zip</w:t>
      </w:r>
    </w:p>
    <w:p>
      <w:pPr>
        <w:pStyle w:val="ListBullet"/>
      </w:pPr>
      <w:r>
        <w:t>BIG BATCH.zip</w:t>
      </w:r>
    </w:p>
    <w:p>
      <w:pPr>
        <w:pStyle w:val="ListBullet"/>
      </w:pPr>
      <w:r>
        <w:t>v12 testing.zip</w:t>
      </w:r>
    </w:p>
    <w:p>
      <w:pPr>
        <w:pStyle w:val="ListBullet"/>
      </w:pPr>
      <w:r>
        <w:t>BBP2MIDI_V14_drumfix.zip</w:t>
      </w:r>
    </w:p>
    <w:p>
      <w:pPr>
        <w:pStyle w:val="ListBullet"/>
      </w:pPr>
      <w:r>
        <w:t>BBP2MIDI_Sound_Audit_V1.zip</w:t>
      </w:r>
    </w:p>
    <w:p>
      <w:pPr>
        <w:pStyle w:val="ListBullet"/>
      </w:pPr>
      <w:r>
        <w:t>BBP2MIDI_Sound_Audit_V2.zip</w:t>
      </w:r>
    </w:p>
    <w:p>
      <w:pPr>
        <w:pStyle w:val="ListBullet"/>
      </w:pPr>
      <w:r>
        <w:t>BBP2MIDI_Piano_Investigation_Notes.md</w:t>
      </w:r>
    </w:p>
    <w:p>
      <w:pPr>
        <w:pStyle w:val="ListBullet"/>
      </w:pPr>
      <w:r>
        <w:t>the supplied I CAN WAIT NO MORE BBP + converter-output MIDI pair.</w:t>
      </w:r>
    </w:p>
    <w:p>
      <w:pPr>
        <w:pStyle w:val="Heading1"/>
      </w:pPr>
      <w:r>
        <w:t>15. Current claims ledger</w:t>
      </w:r>
    </w:p>
    <w:tbl>
      <w:tblPr>
        <w:tblStyle w:val="TableGrid"/>
        <w:tblW w:type="auto" w:w="0"/>
        <w:jc w:val="center"/>
        <w:tblLook w:firstColumn="1" w:firstRow="1" w:lastColumn="0" w:lastRow="0" w:noHBand="0" w:noVBand="1" w:val="04A0"/>
      </w:tblPr>
      <w:tblGrid>
        <w:gridCol w:w="3389"/>
        <w:gridCol w:w="3389"/>
        <w:gridCol w:w="3389"/>
      </w:tblGrid>
      <w:tr>
        <w:tc>
          <w:tcPr>
            <w:tcW w:type="dxa" w:w="3389"/>
            <w:vAlign w:val="center"/>
            <w:shd w:fill="D9E2F3"/>
          </w:tcPr>
          <w:p>
            <w:pPr>
              <w:pStyle w:val="TableText"/>
            </w:pPr>
            <w:r/>
            <w:r>
              <w:rPr>
                <w:b/>
              </w:rPr>
              <w:t>Claim</w:t>
            </w:r>
          </w:p>
        </w:tc>
        <w:tc>
          <w:tcPr>
            <w:tcW w:type="dxa" w:w="3389"/>
            <w:vAlign w:val="center"/>
            <w:shd w:fill="D9E2F3"/>
          </w:tcPr>
          <w:p>
            <w:pPr>
              <w:pStyle w:val="TableText"/>
            </w:pPr>
            <w:r/>
            <w:r>
              <w:rPr>
                <w:b/>
              </w:rPr>
              <w:t>Classification</w:t>
            </w:r>
          </w:p>
        </w:tc>
        <w:tc>
          <w:tcPr>
            <w:tcW w:type="dxa" w:w="3389"/>
            <w:vAlign w:val="center"/>
            <w:shd w:fill="D9E2F3"/>
          </w:tcPr>
          <w:p>
            <w:pPr>
              <w:pStyle w:val="TableText"/>
            </w:pPr>
            <w:r/>
            <w:r>
              <w:rPr>
                <w:b/>
              </w:rPr>
              <w:t>Current evidence</w:t>
            </w:r>
          </w:p>
        </w:tc>
      </w:tr>
      <w:tr>
        <w:tc>
          <w:tcPr>
            <w:tcW w:type="dxa" w:w="3389"/>
            <w:vAlign w:val="center"/>
          </w:tcPr>
          <w:p>
            <w:pPr>
              <w:pStyle w:val="TableText"/>
            </w:pPr>
            <w:r/>
            <w:r>
              <w:rPr>
                <w:b w:val="0"/>
              </w:rPr>
              <w:t>Drum events are present in BBP and can be made audible in MIDI</w:t>
            </w:r>
          </w:p>
        </w:tc>
        <w:tc>
          <w:tcPr>
            <w:tcW w:type="dxa" w:w="3389"/>
            <w:vAlign w:val="center"/>
          </w:tcPr>
          <w:p>
            <w:pPr>
              <w:pStyle w:val="TableText"/>
            </w:pPr>
            <w:r/>
            <w:r>
              <w:rPr>
                <w:b w:val="0"/>
              </w:rPr>
              <w:t>CONFIRMED</w:t>
            </w:r>
          </w:p>
        </w:tc>
        <w:tc>
          <w:tcPr>
            <w:tcW w:type="dxa" w:w="3389"/>
            <w:vAlign w:val="center"/>
          </w:tcPr>
          <w:p>
            <w:pPr>
              <w:pStyle w:val="TableText"/>
            </w:pPr>
            <w:r/>
            <w:r>
              <w:rPr>
                <w:b w:val="0"/>
              </w:rPr>
              <w:t>Raw BBP inspection + corrected V14 + original 2DS listening.</w:t>
            </w:r>
          </w:p>
        </w:tc>
      </w:tr>
      <w:tr>
        <w:tc>
          <w:tcPr>
            <w:tcW w:type="dxa" w:w="3389"/>
            <w:vAlign w:val="center"/>
          </w:tcPr>
          <w:p>
            <w:pPr>
              <w:pStyle w:val="TableText"/>
            </w:pPr>
            <w:r/>
            <w:r>
              <w:rPr>
                <w:b w:val="0"/>
              </w:rPr>
              <w:t>Zero-length percussion notes can suppress practical audibility</w:t>
            </w:r>
          </w:p>
        </w:tc>
        <w:tc>
          <w:tcPr>
            <w:tcW w:type="dxa" w:w="3389"/>
            <w:vAlign w:val="center"/>
          </w:tcPr>
          <w:p>
            <w:pPr>
              <w:pStyle w:val="TableText"/>
            </w:pPr>
            <w:r/>
            <w:r>
              <w:rPr>
                <w:b w:val="0"/>
              </w:rPr>
              <w:t>STRONGLY SUPPORTED / practically corroborated</w:t>
            </w:r>
          </w:p>
        </w:tc>
        <w:tc>
          <w:tcPr>
            <w:tcW w:type="dxa" w:w="3389"/>
            <w:vAlign w:val="center"/>
          </w:tcPr>
          <w:p>
            <w:pPr>
              <w:pStyle w:val="TableText"/>
            </w:pPr>
            <w:r/>
            <w:r>
              <w:rPr>
                <w:b w:val="0"/>
              </w:rPr>
              <w:t>Observed V13 representation + successful V14 hardware listening after correction.</w:t>
            </w:r>
          </w:p>
        </w:tc>
      </w:tr>
      <w:tr>
        <w:tc>
          <w:tcPr>
            <w:tcW w:type="dxa" w:w="3389"/>
            <w:vAlign w:val="center"/>
          </w:tcPr>
          <w:p>
            <w:pPr>
              <w:pStyle w:val="TableText"/>
            </w:pPr>
            <w:r/>
            <w:r>
              <w:rPr>
                <w:b w:val="0"/>
              </w:rPr>
              <w:t>High-bit melodic note bytes are continuation/hold states</w:t>
            </w:r>
          </w:p>
        </w:tc>
        <w:tc>
          <w:tcPr>
            <w:tcW w:type="dxa" w:w="3389"/>
            <w:vAlign w:val="center"/>
          </w:tcPr>
          <w:p>
            <w:pPr>
              <w:pStyle w:val="TableText"/>
            </w:pPr>
            <w:r/>
            <w:r>
              <w:rPr>
                <w:b w:val="0"/>
              </w:rPr>
              <w:t>CONFIRMED for the current decoder model</w:t>
            </w:r>
          </w:p>
        </w:tc>
        <w:tc>
          <w:tcPr>
            <w:tcW w:type="dxa" w:w="3389"/>
            <w:vAlign w:val="center"/>
          </w:tcPr>
          <w:p>
            <w:pPr>
              <w:pStyle w:val="TableText"/>
            </w:pPr>
            <w:r/>
            <w:r>
              <w:rPr>
                <w:b w:val="0"/>
              </w:rPr>
              <w:t>Published Degausser event logic + audit correction.</w:t>
            </w:r>
          </w:p>
        </w:tc>
      </w:tr>
      <w:tr>
        <w:tc>
          <w:tcPr>
            <w:tcW w:type="dxa" w:w="3389"/>
            <w:vAlign w:val="center"/>
          </w:tcPr>
          <w:p>
            <w:pPr>
              <w:pStyle w:val="TableText"/>
            </w:pPr>
            <w:r/>
            <w:r>
              <w:rPr>
                <w:b w:val="0"/>
              </w:rPr>
              <w:t>Piano has generated and literal flavors</w:t>
            </w:r>
          </w:p>
        </w:tc>
        <w:tc>
          <w:tcPr>
            <w:tcW w:type="dxa" w:w="3389"/>
            <w:vAlign w:val="center"/>
          </w:tcPr>
          <w:p>
            <w:pPr>
              <w:pStyle w:val="TableText"/>
            </w:pPr>
            <w:r/>
            <w:r>
              <w:rPr>
                <w:b w:val="0"/>
              </w:rPr>
              <w:t>CONFIRMED</w:t>
            </w:r>
          </w:p>
        </w:tc>
        <w:tc>
          <w:tcPr>
            <w:tcW w:type="dxa" w:w="3389"/>
            <w:vAlign w:val="center"/>
          </w:tcPr>
          <w:p>
            <w:pPr>
              <w:pStyle w:val="TableText"/>
            </w:pPr>
            <w:r/>
            <w:r>
              <w:rPr>
                <w:b w:val="0"/>
              </w:rPr>
              <w:t>Creator statement + converter-side representation structures.</w:t>
            </w:r>
          </w:p>
        </w:tc>
      </w:tr>
      <w:tr>
        <w:tc>
          <w:tcPr>
            <w:tcW w:type="dxa" w:w="3389"/>
            <w:vAlign w:val="center"/>
          </w:tcPr>
          <w:p>
            <w:pPr>
              <w:pStyle w:val="TableText"/>
            </w:pPr>
            <w:r/>
            <w:r>
              <w:rPr>
                <w:b w:val="0"/>
              </w:rPr>
              <w:t>V14 direct pianoOrig lookup is a complete native piano decoder</w:t>
            </w:r>
          </w:p>
        </w:tc>
        <w:tc>
          <w:tcPr>
            <w:tcW w:type="dxa" w:w="3389"/>
            <w:vAlign w:val="center"/>
          </w:tcPr>
          <w:p>
            <w:pPr>
              <w:pStyle w:val="TableText"/>
            </w:pPr>
            <w:r/>
            <w:r>
              <w:rPr>
                <w:b w:val="0"/>
              </w:rPr>
              <w:t>REJECTED</w:t>
            </w:r>
          </w:p>
        </w:tc>
        <w:tc>
          <w:tcPr>
            <w:tcW w:type="dxa" w:w="3389"/>
            <w:vAlign w:val="center"/>
          </w:tcPr>
          <w:p>
            <w:pPr>
              <w:pStyle w:val="TableText"/>
            </w:pPr>
            <w:r/>
            <w:r>
              <w:rPr>
                <w:b w:val="0"/>
              </w:rPr>
              <w:t>Contradicted by creator and descriptor structure.</w:t>
            </w:r>
          </w:p>
        </w:tc>
      </w:tr>
      <w:tr>
        <w:tc>
          <w:tcPr>
            <w:tcW w:type="dxa" w:w="3389"/>
            <w:vAlign w:val="center"/>
          </w:tcPr>
          <w:p>
            <w:pPr>
              <w:pStyle w:val="TableText"/>
            </w:pPr>
            <w:r/>
            <w:r>
              <w:rPr>
                <w:b w:val="0"/>
              </w:rPr>
              <w:t>Extended piano IDs are literal MIDI pitches</w:t>
            </w:r>
          </w:p>
        </w:tc>
        <w:tc>
          <w:tcPr>
            <w:tcW w:type="dxa" w:w="3389"/>
            <w:vAlign w:val="center"/>
          </w:tcPr>
          <w:p>
            <w:pPr>
              <w:pStyle w:val="TableText"/>
            </w:pPr>
            <w:r/>
            <w:r>
              <w:rPr>
                <w:b w:val="0"/>
              </w:rPr>
              <w:t>REJECTED</w:t>
            </w:r>
          </w:p>
        </w:tc>
        <w:tc>
          <w:tcPr>
            <w:tcW w:type="dxa" w:w="3389"/>
            <w:vAlign w:val="center"/>
          </w:tcPr>
          <w:p>
            <w:pPr>
              <w:pStyle w:val="TableText"/>
            </w:pPr>
            <w:r/>
            <w:r>
              <w:rPr>
                <w:b w:val="0"/>
              </w:rPr>
              <w:t>V15 candidate contradicted by descriptor model.</w:t>
            </w:r>
          </w:p>
        </w:tc>
      </w:tr>
      <w:tr>
        <w:tc>
          <w:tcPr>
            <w:tcW w:type="dxa" w:w="3389"/>
            <w:vAlign w:val="center"/>
          </w:tcPr>
          <w:p>
            <w:pPr>
              <w:pStyle w:val="TableText"/>
            </w:pPr>
            <w:r/>
            <w:r>
              <w:rPr>
                <w:b w:val="0"/>
              </w:rPr>
              <w:t>Native piano index is a component bitmask</w:t>
            </w:r>
          </w:p>
        </w:tc>
        <w:tc>
          <w:tcPr>
            <w:tcW w:type="dxa" w:w="3389"/>
            <w:vAlign w:val="center"/>
          </w:tcPr>
          <w:p>
            <w:pPr>
              <w:pStyle w:val="TableText"/>
            </w:pPr>
            <w:r/>
            <w:r>
              <w:rPr>
                <w:b w:val="0"/>
              </w:rPr>
              <w:t>HYPOTHESIS</w:t>
            </w:r>
          </w:p>
        </w:tc>
        <w:tc>
          <w:tcPr>
            <w:tcW w:type="dxa" w:w="3389"/>
            <w:vAlign w:val="center"/>
          </w:tcPr>
          <w:p>
            <w:pPr>
              <w:pStyle w:val="TableText"/>
            </w:pPr>
            <w:r/>
            <w:r>
              <w:rPr>
                <w:b w:val="0"/>
              </w:rPr>
              <w:t>Binary-pattern observation only; exact mapping unproven.</w:t>
            </w:r>
          </w:p>
        </w:tc>
      </w:tr>
      <w:tr>
        <w:tc>
          <w:tcPr>
            <w:tcW w:type="dxa" w:w="3389"/>
            <w:vAlign w:val="center"/>
          </w:tcPr>
          <w:p>
            <w:pPr>
              <w:pStyle w:val="TableText"/>
            </w:pPr>
            <w:r/>
            <w:r>
              <w:rPr>
                <w:b w:val="0"/>
              </w:rPr>
              <w:t>Guitar has three flavors</w:t>
            </w:r>
          </w:p>
        </w:tc>
        <w:tc>
          <w:tcPr>
            <w:tcW w:type="dxa" w:w="3389"/>
            <w:vAlign w:val="center"/>
          </w:tcPr>
          <w:p>
            <w:pPr>
              <w:pStyle w:val="TableText"/>
            </w:pPr>
            <w:r/>
            <w:r>
              <w:rPr>
                <w:b w:val="0"/>
              </w:rPr>
              <w:t>CONFIRMED</w:t>
            </w:r>
          </w:p>
        </w:tc>
        <w:tc>
          <w:tcPr>
            <w:tcW w:type="dxa" w:w="3389"/>
            <w:vAlign w:val="center"/>
          </w:tcPr>
          <w:p>
            <w:pPr>
              <w:pStyle w:val="TableText"/>
            </w:pPr>
            <w:r/>
            <w:r>
              <w:rPr>
                <w:b w:val="0"/>
              </w:rPr>
              <w:t>Creator statement + data structures.</w:t>
            </w:r>
          </w:p>
        </w:tc>
      </w:tr>
      <w:tr>
        <w:tc>
          <w:tcPr>
            <w:tcW w:type="dxa" w:w="3389"/>
            <w:vAlign w:val="center"/>
          </w:tcPr>
          <w:p>
            <w:pPr>
              <w:pStyle w:val="TableText"/>
            </w:pPr>
            <w:r/>
            <w:r>
              <w:rPr>
                <w:b w:val="0"/>
              </w:rPr>
              <w:t>Current guitar handles all six-literal and subset-strum semantics</w:t>
            </w:r>
          </w:p>
        </w:tc>
        <w:tc>
          <w:tcPr>
            <w:tcW w:type="dxa" w:w="3389"/>
            <w:vAlign w:val="center"/>
          </w:tcPr>
          <w:p>
            <w:pPr>
              <w:pStyle w:val="TableText"/>
            </w:pPr>
            <w:r/>
            <w:r>
              <w:rPr>
                <w:b w:val="0"/>
              </w:rPr>
              <w:t>REJECTED</w:t>
            </w:r>
          </w:p>
        </w:tc>
        <w:tc>
          <w:tcPr>
            <w:tcW w:type="dxa" w:w="3389"/>
            <w:vAlign w:val="center"/>
          </w:tcPr>
          <w:p>
            <w:pPr>
              <w:pStyle w:val="TableText"/>
            </w:pPr>
            <w:r/>
            <w:r>
              <w:rPr>
                <w:b w:val="0"/>
              </w:rPr>
              <w:t>Creator explicitly identifies remaining missing behavior.</w:t>
            </w:r>
          </w:p>
        </w:tc>
      </w:tr>
      <w:tr>
        <w:tc>
          <w:tcPr>
            <w:tcW w:type="dxa" w:w="3389"/>
            <w:vAlign w:val="center"/>
          </w:tcPr>
          <w:p>
            <w:pPr>
              <w:pStyle w:val="TableText"/>
            </w:pPr>
            <w:r/>
            <w:r>
              <w:rPr>
                <w:b w:val="0"/>
              </w:rPr>
              <w:t>All dynamic layers are correctly reproduced</w:t>
            </w:r>
          </w:p>
        </w:tc>
        <w:tc>
          <w:tcPr>
            <w:tcW w:type="dxa" w:w="3389"/>
            <w:vAlign w:val="center"/>
          </w:tcPr>
          <w:p>
            <w:pPr>
              <w:pStyle w:val="TableText"/>
            </w:pPr>
            <w:r/>
            <w:r>
              <w:rPr>
                <w:b w:val="0"/>
              </w:rPr>
              <w:t>REJECTED / unresolved</w:t>
            </w:r>
          </w:p>
        </w:tc>
        <w:tc>
          <w:tcPr>
            <w:tcW w:type="dxa" w:w="3389"/>
            <w:vAlign w:val="center"/>
          </w:tcPr>
          <w:p>
            <w:pPr>
              <w:pStyle w:val="TableText"/>
            </w:pPr>
            <w:r/>
            <w:r>
              <w:rPr>
                <w:b w:val="0"/>
              </w:rPr>
              <w:t>Creator says combination is mysterious/not fully certain; no complete validation yet.</w:t>
            </w:r>
          </w:p>
        </w:tc>
      </w:tr>
      <w:tr>
        <w:tc>
          <w:tcPr>
            <w:tcW w:type="dxa" w:w="3389"/>
            <w:vAlign w:val="center"/>
          </w:tcPr>
          <w:p>
            <w:pPr>
              <w:pStyle w:val="TableText"/>
            </w:pPr>
            <w:r/>
            <w:r>
              <w:rPr>
                <w:b w:val="0"/>
              </w:rPr>
              <w:t>Historical paired MIDIs are independent correctness references</w:t>
            </w:r>
          </w:p>
        </w:tc>
        <w:tc>
          <w:tcPr>
            <w:tcW w:type="dxa" w:w="3389"/>
            <w:vAlign w:val="center"/>
          </w:tcPr>
          <w:p>
            <w:pPr>
              <w:pStyle w:val="TableText"/>
            </w:pPr>
            <w:r/>
            <w:r>
              <w:rPr>
                <w:b w:val="0"/>
              </w:rPr>
              <w:t>REJECTED</w:t>
            </w:r>
          </w:p>
        </w:tc>
        <w:tc>
          <w:tcPr>
            <w:tcW w:type="dxa" w:w="3389"/>
            <w:vAlign w:val="center"/>
          </w:tcPr>
          <w:p>
            <w:pPr>
              <w:pStyle w:val="TableText"/>
            </w:pPr>
            <w:r/>
            <w:r>
              <w:rPr>
                <w:b w:val="0"/>
              </w:rPr>
              <w:t>They are converter outputs by construction.</w:t>
            </w:r>
          </w:p>
        </w:tc>
      </w:tr>
      <w:tr>
        <w:tc>
          <w:tcPr>
            <w:tcW w:type="dxa" w:w="3389"/>
            <w:vAlign w:val="center"/>
          </w:tcPr>
          <w:p>
            <w:pPr>
              <w:pStyle w:val="TableText"/>
            </w:pPr>
            <w:r/>
            <w:r>
              <w:rPr>
                <w:b w:val="0"/>
              </w:rPr>
              <w:t>Future releases need independent acoustic validation</w:t>
            </w:r>
          </w:p>
        </w:tc>
        <w:tc>
          <w:tcPr>
            <w:tcW w:type="dxa" w:w="3389"/>
            <w:vAlign w:val="center"/>
          </w:tcPr>
          <w:p>
            <w:pPr>
              <w:pStyle w:val="TableText"/>
            </w:pPr>
            <w:r/>
            <w:r>
              <w:rPr>
                <w:b w:val="0"/>
              </w:rPr>
              <w:t>CONFIRMED as engineering requirement</w:t>
            </w:r>
          </w:p>
        </w:tc>
        <w:tc>
          <w:tcPr>
            <w:tcW w:type="dxa" w:w="3389"/>
            <w:vAlign w:val="center"/>
          </w:tcPr>
          <w:p>
            <w:pPr>
              <w:pStyle w:val="TableText"/>
            </w:pPr>
            <w:r/>
            <w:r>
              <w:rPr>
                <w:b w:val="0"/>
              </w:rPr>
              <w:t>Drum case demonstrated structural-vs-audible divergence.</w:t>
            </w:r>
          </w:p>
        </w:tc>
      </w:tr>
    </w:tbl>
    <w:p/>
    <w:p>
      <w:r>
        <w:br w:type="page"/>
      </w:r>
    </w:p>
    <w:p>
      <w:pPr>
        <w:pStyle w:val="Heading1"/>
      </w:pPr>
      <w:r>
        <w:t>Appendix A — Reproducible decoder pseudocode (current baseline)</w:t>
      </w:r>
    </w:p>
    <w:p>
      <w:pPr>
        <w:pStyle w:val="CodeBlock"/>
        <w:ind w:left="360" w:right="173"/>
      </w:pPr>
      <w:r>
        <w:t>def convert(bbp):</w:t>
        <w:br/>
        <w:t xml:space="preserve">    total_frames = bbp.lines * 48</w:t>
        <w:br/>
        <w:t xml:space="preserve">    build_tempo_track(total_frames)</w:t>
        <w:br/>
        <w:t xml:space="preserve">    for channel in 0..9:</w:t>
        <w:br/>
        <w:t xml:space="preserve">        pt, instrument, volume, clone = channel_info[channel]</w:t>
        <w:br/>
        <w:t xml:space="preserve">        if pt == STANDARD:</w:t>
        <w:br/>
        <w:t xml:space="preserve">            decode_standard_note_stream(channel)</w:t>
        <w:br/>
        <w:t xml:space="preserve">        elif pt == DRUM:</w:t>
        <w:br/>
        <w:t xml:space="preserve">            decode_two_nibble_drum_stream(channel)</w:t>
        <w:br/>
        <w:t xml:space="preserve">        elif pt == GUITAR:</w:t>
        <w:br/>
        <w:t xml:space="preserve">            active = guitar_mapping_at_each_frame(guitarTimer)</w:t>
        <w:br/>
        <w:t xml:space="preserve">            decode_guitar_stream(channel, active)</w:t>
        <w:br/>
        <w:t xml:space="preserve">        elif pt == PIANO:</w:t>
        <w:br/>
        <w:t xml:space="preserve">            active = piano_descriptor_at_each_frame(pianoChordChangeTable)</w:t>
        <w:br/>
        <w:t xml:space="preserve">            decode_piano_stream(channel, active)</w:t>
        <w:br/>
        <w:t xml:space="preserve">    write_midi_safely()</w:t>
      </w:r>
    </w:p>
    <w:p>
      <w:r>
        <w:t>This is an architecture description, not a claim that the piano/guitar resolver bodies are complete. The drum and standard timing/event machinery are the best-established portions of the current converter.</w:t>
      </w:r>
    </w:p>
    <w:p>
      <w:pPr>
        <w:pStyle w:val="Heading1"/>
      </w:pPr>
      <w:r>
        <w:t>Appendix B — What the next implementation must not do</w:t>
      </w:r>
    </w:p>
    <w:p>
      <w:pPr>
        <w:pStyle w:val="ListBullet"/>
      </w:pPr>
      <w:r>
        <w:t>Do not compare a newly generated MIDI against a MIDI that was generated by the same converter and call the result “correct.”</w:t>
      </w:r>
    </w:p>
    <w:p>
      <w:pPr>
        <w:pStyle w:val="ListBullet"/>
      </w:pPr>
      <w:r>
        <w:t>Do not interpret high-bit continuation states as independent piano/guitar IDs.</w:t>
      </w:r>
    </w:p>
    <w:p>
      <w:pPr>
        <w:pStyle w:val="ListBullet"/>
      </w:pPr>
      <w:r>
        <w:t>Do not treat pianoPair indices as literal MIDI pitches.</w:t>
      </w:r>
    </w:p>
    <w:p>
      <w:pPr>
        <w:pStyle w:val="ListBullet"/>
      </w:pPr>
      <w:r>
        <w:t>Do not copy the BDX2BBP conversion-side PianoChord constructor into the native BBP decoder without proving that the native game uses the same algorithm.</w:t>
      </w:r>
    </w:p>
    <w:p>
      <w:pPr>
        <w:pStyle w:val="ListBullet"/>
      </w:pPr>
      <w:r>
        <w:t>Do not collapse six-string guitar attacks into only sounding pitches if the source encodes silent strings or a subset-strum mask.</w:t>
      </w:r>
    </w:p>
    <w:p>
      <w:pPr>
        <w:pStyle w:val="ListBullet"/>
      </w:pPr>
      <w:r>
        <w:t>Do not reduce master volume, instrument volume, track volume, and intensity to one unexplained multiplier.</w:t>
      </w:r>
    </w:p>
    <w:p>
      <w:pPr>
        <w:pStyle w:val="ListBullet"/>
      </w:pPr>
      <w:r>
        <w:t>Do not release a numbered algorithmic version solely from a plausible hypothesis.</w:t>
      </w:r>
    </w:p>
    <w:p>
      <w:pPr>
        <w:pStyle w:val="Heading1"/>
      </w:pPr>
      <w:r>
        <w:t>Appendix C — Open technical questions</w:t>
      </w:r>
    </w:p>
    <w:p>
      <w:r>
        <w:t>1. Exact native BBP generated-piano resolver and descriptor bitfields.</w:t>
      </w:r>
    </w:p>
    <w:p>
      <w:r>
        <w:t>2. Exact native BBP literal-piano selection semantics.</w:t>
      </w:r>
    </w:p>
    <w:p>
      <w:r>
        <w:t>3. Whether piano generated voicing style is globally configured, per-song, per-descriptor, or some combination.</w:t>
      </w:r>
    </w:p>
    <w:p>
      <w:r>
        <w:t>4. Exact native generated-guitar resolver.</w:t>
      </w:r>
    </w:p>
    <w:p>
      <w:r>
        <w:t>5. Exact six-string literal guitar attack mask and strum direction encoding.</w:t>
      </w:r>
    </w:p>
    <w:p>
      <w:r>
        <w:t>6. Non-legato treatment of adjacent guitar attacks.</w:t>
      </w:r>
    </w:p>
    <w:p>
      <w:r>
        <w:t>7. Complete dynamic combination law and mapping to MIDI CC/velocity/expression.</w:t>
      </w:r>
    </w:p>
    <w:p>
      <w:r>
        <w:t>8. Additional sound-bearing sentinels not yet classified by the audit.</w:t>
      </w:r>
    </w:p>
    <w:p>
      <w:r>
        <w:t>9. Whether Nintendo hardware uses any non-General-MIDI articulation that must be approximated with controllers/program changes in standard MIDI.</w:t>
      </w:r>
    </w:p>
    <w:p>
      <w:pPr>
        <w:pStyle w:val="Heading1"/>
      </w:pPr>
      <w:r>
        <w:t>Appendix D — Suggested format for the eventual final report</w:t>
      </w:r>
    </w:p>
    <w:p>
      <w:r>
        <w:t>The eventual final report should preserve this technical structure but add a resolution column to every open question. Each issue should end in one of four states: CONFIRMED with proof artifact; STRONGLY SUPPORTED with reproducible experiment; HYPOTHESIS with explicit test plan; or REJECTED with the counterexample that closed it. This will make the report suitable for review by the Degausser creator without requiring him to reconstruct the entire history of the project.</w:t>
      </w:r>
    </w:p>
    <w:sectPr w:rsidR="00FC693F" w:rsidRPr="0006063C" w:rsidSect="00034616">
      <w:headerReference w:type="default" r:id="rId9"/>
      <w:footerReference w:type="default" r:id="rId10"/>
      <w:pgSz w:w="12240" w:h="15840"/>
      <w:pgMar w:top="936" w:right="1037" w:bottom="936"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Working technical draft • 14 September 2026</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Note"/>
    </w:pPr>
    <w:r>
      <w:t>BBP2MIDI — Technical Reverse-Engineering Report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4F81BD" w:themeColor="accent1"/>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4F81BD" w:themeColor="accent1"/>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17365D" w:themeColor="text2" w:themeShade="BF"/>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Block">
    <w:name w:val="CodeBlock"/>
    <w:pPr>
      <w:spacing w:before="80" w:after="100"/>
    </w:pPr>
    <w:rPr>
      <w:rFonts w:ascii="Consolas" w:hAnsi="Consolas"/>
      <w:sz w:val="16"/>
    </w:rPr>
  </w:style>
  <w:style w:type="paragraph" w:customStyle="1" w:styleId="SmallNote">
    <w:name w:val="SmallNote"/>
    <w:rPr>
      <w:rFonts w:ascii="Aptos" w:hAnsi="Aptos"/>
      <w:i/>
      <w:sz w:val="16"/>
    </w:rPr>
  </w:style>
  <w:style w:type="paragraph" w:customStyle="1" w:styleId="TableText">
    <w:name w:val="TableText"/>
    <w:rPr>
      <w:rFonts w:ascii="Aptos" w:hAnsi="Aptos"/>
      <w:sz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BBP → MIDI Reverse Engineering — Technical Findings &amp; Evidence Ledger</dc:title>
  <dc:subject>Technical reverse-engineering report for the BBP2MIDI project</dc:subject>
  <dc:creator>BBP2MIDI research log</dc:creator>
  <cp:keywords/>
  <dc:description>Working draft; not a claim of complete semantic recovery.</dc:description>
  <cp:lastModifiedBy/>
  <cp:revision>1</cp:revision>
  <dcterms:created xsi:type="dcterms:W3CDTF">2013-12-23T23:15:00Z</dcterms:created>
  <dcterms:modified xsi:type="dcterms:W3CDTF">2013-12-23T23:15:00Z</dcterms:modified>
  <cp:category/>
</cp:coreProperties>
</file>