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4"/>
        </w:rPr>
        <w:t>BBP → MIDI Reverse-Engineering Report</w:t>
        <w:br/>
        <w:t>Working Draft / Review Structure</w:t>
      </w:r>
    </w:p>
    <w:p>
      <w:pPr>
        <w:jc w:val="center"/>
      </w:pPr>
      <w:r>
        <w:rPr>
          <w:i/>
        </w:rPr>
        <w:t>Prepared for iterative review and eventual sharing with the creator of Degausser</w:t>
      </w:r>
    </w:p>
    <w:p>
      <w:pPr>
        <w:jc w:val="center"/>
      </w:pPr>
      <w:r>
        <w:rPr>
          <w:b/>
        </w:rPr>
        <w:t>Status: living research document — not a final technical specification</w:t>
      </w:r>
    </w:p>
    <w:p>
      <w:pPr>
        <w:pStyle w:val="Heading1"/>
      </w:pPr>
      <w:r>
        <w:t>1. Purpose and scope</w:t>
      </w:r>
    </w:p>
    <w:p>
      <w:r>
        <w:t>The ultimate objective is to build a proper BBP-to-MIDI converter that reconstructs the music encoded in Daigasso Band Brothers P!/DS/3DS-style BBP files into a listenable MIDI performance. The target is not merely structural conversion and not merely reproduction of the converter's own prior outputs. The desired result is faithful musical reconstruction: timing, note content, articulation, percussion, chords, string selection/strumming, dynamics, and instrument assignment should reflect what the original game is intended to play.</w:t>
      </w:r>
    </w:p>
    <w:p>
      <w:r>
        <w:t>The project therefore distinguishes three evidence classes: (1) BBP structural evidence, (2) independent implementation/source evidence, and (3) external listening/hardware evidence. MIDI files supplied by the user alongside BBPs are historical outputs from the converter under test, not independent ground truth.</w:t>
      </w:r>
    </w:p>
    <w:p>
      <w:pPr>
        <w:pStyle w:val="Heading1"/>
      </w:pPr>
      <w:r>
        <w:t>2. Evidence sources</w:t>
      </w:r>
    </w:p>
    <w:p>
      <w:pPr>
        <w:pStyle w:val="ListBullet"/>
      </w:pPr>
      <w:r>
        <w:t>User-provided BBP files and the MIDI files produced from them by successive converter versions.</w:t>
      </w:r>
    </w:p>
    <w:p>
      <w:pPr>
        <w:pStyle w:val="ListBullet"/>
      </w:pPr>
      <w:r>
        <w:t>User-provided BIG BATCH corpus and subsequent edge-case batches.</w:t>
      </w:r>
    </w:p>
    <w:p>
      <w:pPr>
        <w:pStyle w:val="ListBullet"/>
      </w:pPr>
      <w:r>
        <w:t>BDX2BBP_release_1.0.2.zip supplied by the user, including the converter executable.</w:t>
      </w:r>
    </w:p>
    <w:p>
      <w:pPr>
        <w:pStyle w:val="ListBullet"/>
      </w:pPr>
      <w:r>
        <w:t>Published Degausser source code, especially BBP record/format structures and the older MIDI setup logic.</w:t>
      </w:r>
    </w:p>
    <w:p>
      <w:pPr>
        <w:pStyle w:val="ListBullet"/>
      </w:pPr>
      <w:r>
        <w:t>Creator-provided statements about the intended semantics of piano, guitar, strum behavior, and volume handling.</w:t>
      </w:r>
    </w:p>
    <w:p>
      <w:pPr>
        <w:pStyle w:val="ListBullet"/>
      </w:pPr>
      <w:r>
        <w:t>Creator's current BBP2MIDI web application and its described forensic/player behavior.</w:t>
      </w:r>
    </w:p>
    <w:p>
      <w:pPr>
        <w:pStyle w:val="ListBullet"/>
      </w:pPr>
      <w:r>
        <w:t>Independent user listening tests on original Nintendo 2DS hardware.</w:t>
      </w:r>
    </w:p>
    <w:p>
      <w:r>
        <w:t>Important evidentiary rule: a converter-generated MIDI cannot be used as proof that the converter is correct when it was generated by that same converter. It is useful for regression, diffing, and forensic comparison between converter versions, but correctness must be established from independent evidence.</w:t>
      </w:r>
    </w:p>
    <w:p>
      <w:pPr>
        <w:pStyle w:val="Heading1"/>
      </w:pPr>
      <w:r>
        <w:t>3. Evidence classification system</w:t>
      </w:r>
    </w:p>
    <w:tbl>
      <w:tblPr>
        <w:tblStyle w:val="TableGrid"/>
        <w:tblW w:type="auto" w:w="0"/>
        <w:jc w:val="center"/>
        <w:tblLook w:firstColumn="1" w:firstRow="1" w:lastColumn="0" w:lastRow="0" w:noHBand="0" w:noVBand="1" w:val="04A0"/>
      </w:tblPr>
      <w:tblGrid>
        <w:gridCol w:w="3408"/>
        <w:gridCol w:w="3408"/>
        <w:gridCol w:w="3408"/>
      </w:tblGrid>
      <w:tr>
        <w:tc>
          <w:tcPr>
            <w:tcW w:type="dxa" w:w="3408"/>
          </w:tcPr>
          <w:p>
            <w:r>
              <w:t>Topic</w:t>
            </w:r>
          </w:p>
        </w:tc>
        <w:tc>
          <w:tcPr>
            <w:tcW w:type="dxa" w:w="3408"/>
          </w:tcPr>
          <w:p>
            <w:r>
              <w:t>Current status</w:t>
            </w:r>
          </w:p>
        </w:tc>
        <w:tc>
          <w:tcPr>
            <w:tcW w:type="dxa" w:w="3408"/>
          </w:tcPr>
          <w:p>
            <w:r>
              <w:t>Confidence</w:t>
            </w:r>
          </w:p>
        </w:tc>
      </w:tr>
      <w:tr>
        <w:tc>
          <w:tcPr>
            <w:tcW w:type="dxa" w:w="3408"/>
            <w:vAlign w:val="center"/>
          </w:tcPr>
          <w:p>
            <w:r>
              <w:t>Confirmed</w:t>
            </w:r>
          </w:p>
        </w:tc>
        <w:tc>
          <w:tcPr>
            <w:tcW w:type="dxa" w:w="3408"/>
            <w:vAlign w:val="center"/>
          </w:tcPr>
          <w:p>
            <w:r>
              <w:t>Directly demonstrated by source/BBP structure, executable behavior, or independent hardware observation.</w:t>
            </w:r>
          </w:p>
        </w:tc>
        <w:tc>
          <w:tcPr>
            <w:tcW w:type="dxa" w:w="3408"/>
            <w:vAlign w:val="center"/>
          </w:tcPr>
          <w:p>
            <w:r>
              <w:t>High</w:t>
            </w:r>
          </w:p>
        </w:tc>
      </w:tr>
      <w:tr>
        <w:tc>
          <w:tcPr>
            <w:tcW w:type="dxa" w:w="3408"/>
            <w:vAlign w:val="center"/>
          </w:tcPr>
          <w:p>
            <w:r>
              <w:t>Strongly supported</w:t>
            </w:r>
          </w:p>
        </w:tc>
        <w:tc>
          <w:tcPr>
            <w:tcW w:type="dxa" w:w="3408"/>
            <w:vAlign w:val="center"/>
          </w:tcPr>
          <w:p>
            <w:r>
              <w:t>Supported by multiple independent observations but not yet authoritative.</w:t>
            </w:r>
          </w:p>
        </w:tc>
        <w:tc>
          <w:tcPr>
            <w:tcW w:type="dxa" w:w="3408"/>
            <w:vAlign w:val="center"/>
          </w:tcPr>
          <w:p>
            <w:r>
              <w:t>Medium-high</w:t>
            </w:r>
          </w:p>
        </w:tc>
      </w:tr>
      <w:tr>
        <w:tc>
          <w:tcPr>
            <w:tcW w:type="dxa" w:w="3408"/>
            <w:vAlign w:val="center"/>
          </w:tcPr>
          <w:p>
            <w:r>
              <w:t>Hypothesis</w:t>
            </w:r>
          </w:p>
        </w:tc>
        <w:tc>
          <w:tcPr>
            <w:tcW w:type="dxa" w:w="3408"/>
            <w:vAlign w:val="center"/>
          </w:tcPr>
          <w:p>
            <w:r>
              <w:t>Plausible interpretation still requiring proof.</w:t>
            </w:r>
          </w:p>
        </w:tc>
        <w:tc>
          <w:tcPr>
            <w:tcW w:type="dxa" w:w="3408"/>
            <w:vAlign w:val="center"/>
          </w:tcPr>
          <w:p>
            <w:r>
              <w:t>Low/medium</w:t>
            </w:r>
          </w:p>
        </w:tc>
      </w:tr>
      <w:tr>
        <w:tc>
          <w:tcPr>
            <w:tcW w:type="dxa" w:w="3408"/>
            <w:vAlign w:val="center"/>
          </w:tcPr>
          <w:p>
            <w:r>
              <w:t>Rejected</w:t>
            </w:r>
          </w:p>
        </w:tc>
        <w:tc>
          <w:tcPr>
            <w:tcW w:type="dxa" w:w="3408"/>
            <w:vAlign w:val="center"/>
          </w:tcPr>
          <w:p>
            <w:r>
              <w:t>Previously implemented hypothesis shown to be wrong or unsupported.</w:t>
            </w:r>
          </w:p>
        </w:tc>
        <w:tc>
          <w:tcPr>
            <w:tcW w:type="dxa" w:w="3408"/>
            <w:vAlign w:val="center"/>
          </w:tcPr>
          <w:p>
            <w:r>
              <w:t>Closed</w:t>
            </w:r>
          </w:p>
        </w:tc>
      </w:tr>
    </w:tbl>
    <w:p>
      <w:pPr>
        <w:pStyle w:val="Heading1"/>
      </w:pPr>
      <w:r>
        <w:t>4. Project chronology — major discoveries</w:t>
      </w:r>
    </w:p>
    <w:p>
      <w:pPr>
        <w:pStyle w:val="ListBullet"/>
      </w:pPr>
      <w:r>
        <w:t>V6 resolved a filename/space-related batch conversion problem and established a more reliable batch workflow.</w:t>
      </w:r>
    </w:p>
    <w:p>
      <w:pPr>
        <w:pStyle w:val="ListBullet"/>
      </w:pPr>
      <w:r>
        <w:t>The missing-drums problem was discovered through original-hardware listening: drum data existed in the BBP/MIDI structure but the generated MIDI did not audibly reproduce the drums.</w:t>
      </w:r>
    </w:p>
    <w:p>
      <w:pPr>
        <w:pStyle w:val="ListBullet"/>
      </w:pPr>
      <w:r>
        <w:t>V11 introduced handling for the native-original-guitar 0xEB case, which fixed the previously failing Iori BBP. The established corpus had 41 BBPs but only 40 user-supplied converter-output MIDIs; the 41st BBP was the previously failing Iori file.</w:t>
      </w:r>
    </w:p>
    <w:p>
      <w:pPr>
        <w:pStyle w:val="ListBullet"/>
      </w:pPr>
      <w:r>
        <w:t>V13 hardened output-file handling after a Windows permission/locked-file case was observed in the v12 testing batch. That was an output-layer failure, not a BBP decoding failure.</w:t>
      </w:r>
    </w:p>
    <w:p>
      <w:pPr>
        <w:pStyle w:val="ListBullet"/>
      </w:pPr>
      <w:r>
        <w:t>V14 corrected drum event handling. The user subsequently listened to the affected song on original 2DS hardware and confirmed that the drums then sounded clear and strong.</w:t>
      </w:r>
    </w:p>
    <w:p>
      <w:pPr>
        <w:pStyle w:val="ListBullet"/>
      </w:pPr>
      <w:r>
        <w:t>The sound-coverage audit was introduced to detect events silently lost between BBP decoding and MIDI generation.</w:t>
      </w:r>
    </w:p>
    <w:p>
      <w:pPr>
        <w:pStyle w:val="ListBullet"/>
      </w:pPr>
      <w:r>
        <w:t>Audit V1 initially misclassified high-bit continuation/hold bytes as unresolved piano IDs. This was corrected in Audit V2.</w:t>
      </w:r>
    </w:p>
    <w:p>
      <w:pPr>
        <w:pStyle w:val="ListBullet"/>
      </w:pPr>
      <w:r>
        <w:t>The creator of Degausser later supplied crucial semantic guidance: two piano chord flavors, three guitar chord flavors, discrete/subset strum behavior, and a multi-layer volume/intensity system.</w:t>
      </w:r>
    </w:p>
    <w:p>
      <w:pPr>
        <w:pStyle w:val="Heading1"/>
      </w:pPr>
      <w:r>
        <w:t>5. Confirmed BBP event/timing model</w:t>
      </w:r>
    </w:p>
    <w:p>
      <w:r>
        <w:t>The published Degausser structures establish a per-song/per-channel data layout including a time-varying piano descriptor table, a 120-entry pianoPair table, a 64-entry pianoOrig store, guitar mapping structures, and fixed-size channel note streams. The older MIDI routine expands playback onto a 48-frame-per-line timeline. Source: Degausser BBPRecord and Gak/File-Format structures.</w:t>
      </w:r>
    </w:p>
    <w:p>
      <w:r>
        <w:t>High-bit note-stream values are continuation/hold encodings, not independent note IDs. The special 0xFF timing marker changes the subdivision behavior for melodic channels. Drum bytes are handled separately as upper and lower nibbles. These rules are supported by the public source and by our corrected drum implementation.</w:t>
      </w:r>
    </w:p>
    <w:p>
      <w:pPr>
        <w:pStyle w:val="Heading1"/>
      </w:pPr>
      <w:r>
        <w:t>6. Drums — confirmed fix</w:t>
      </w:r>
    </w:p>
    <w:p>
      <w:r>
        <w:t>The drum problem is the clearest example of why structural coverage alone is insufficient. V13 contained percussion events but represented them as immediate NoteOn/NoteOff pairs, resulting in zero-duration percussion notes. The BBP drum information was therefore present but not reliably audible.</w:t>
      </w:r>
    </w:p>
    <w:p>
      <w:r>
        <w:t>The V14 correction follows the original drum event model more closely: upper and lower nibbles are decoded independently, the drum timing marker is interpreted correctly, and percussion is emitted as trigger-style MIDI events rather than immediate zero-length note pairs.</w:t>
      </w:r>
    </w:p>
    <w:p>
      <w:r>
        <w:t>Independent corroboration: the user listened to the affected conversion against the original hardware on a Nintendo 2DS and reported that the drums became “clear and strong.” This is currently our strongest hardware-verified improvement.</w:t>
      </w:r>
    </w:p>
    <w:p>
      <w:pPr>
        <w:pStyle w:val="Heading1"/>
      </w:pPr>
      <w:r>
        <w:t>7. Piano — current semantic model</w:t>
      </w:r>
    </w:p>
    <w:p>
      <w:r>
        <w:t>The creator states that piano chords have two flavors: (1) chords generated from root/accidental/other descriptor information, and (2) four literal notes. This directly contradicts the earlier V14/V15 assumption that piano events could generally be interpreted as direct pianoOrig lookups or, later, as literal MIDI pitches.</w:t>
      </w:r>
    </w:p>
    <w:p>
      <w:r>
        <w:t>The BBP data model contains pianoPair[120], pianoOrig[64], and pianoChordChangeTable[300]. A piano attack references a pianoPair entry, while the change table maintains the time-varying descriptor state. This gives the runtime conceptual chain: attack ID → pianoPair descriptor → descriptor resolver → four-note piano chord.</w:t>
      </w:r>
    </w:p>
    <w:p>
      <w:r>
        <w:t>The older public Degausser MIDI code constructs a piano change tracker but leaves the actual piano chord playback path incomplete. Consequently, it is useful as a format specification but not sufficient as the final native-BBP playback authority.</w:t>
      </w:r>
    </w:p>
    <w:p>
      <w:r>
        <w:t>The BDX2BBP 1.0.2 executable contains separate piano remapping/generation machinery. This is useful corroborating evidence for the existence of generated-vs-literal paths, but it must not automatically be treated as the native BBP playback algorithm because the creator explicitly stated that his older conversion/playback work did not reproduce piano correctly.</w:t>
      </w:r>
    </w:p>
    <w:p>
      <w:pPr>
        <w:pStyle w:val="Heading1"/>
      </w:pPr>
      <w:r>
        <w:t>8. Piano — rejected ideas</w:t>
      </w:r>
    </w:p>
    <w:p>
      <w:pPr>
        <w:pStyle w:val="ListBullet"/>
      </w:pPr>
      <w:r>
        <w:t>Rejected: treating converter-generated MIDI supplied by the user as an independent reference.</w:t>
      </w:r>
    </w:p>
    <w:p>
      <w:pPr>
        <w:pStyle w:val="ListBullet"/>
      </w:pPr>
      <w:r>
        <w:t>Rejected: interpreting high-bit continuation bytes as chord IDs.</w:t>
      </w:r>
    </w:p>
    <w:p>
      <w:pPr>
        <w:pStyle w:val="ListBullet"/>
      </w:pPr>
      <w:r>
        <w:t>Rejected: interpreting extended piano IDs as literal MIDI pitches (the V15 candidate experiment).</w:t>
      </w:r>
    </w:p>
    <w:p>
      <w:pPr>
        <w:pStyle w:val="ListBullet"/>
      </w:pPr>
      <w:r>
        <w:t>Not yet accepted: treating the 1.0.2 BDX2BBP PianoChord constructor as the definitive native-BBP playback algorithm.</w:t>
      </w:r>
    </w:p>
    <w:p>
      <w:pPr>
        <w:pStyle w:val="Heading1"/>
      </w:pPr>
      <w:r>
        <w:t>9. Guitar — confirmed semantic direction</w:t>
      </w:r>
    </w:p>
    <w:p>
      <w:r>
        <w:t>The creator states that guitar has three flavors: (1) generated from root/other descriptor information, (2) six literal notes, and (3) BDX-migrated data. The creator specifically indicated that the existing AI-improved converter gets the third form right and about half of the six-literal-note form.</w:t>
      </w:r>
    </w:p>
    <w:p>
      <w:r>
        <w:t>The creator also identified remaining behavioral problems: consecutive strums are being treated too much like legato, and strumming a subset of strings is not handled. The binary/source structures include guitarOriginal data, guitar mapping tables, guitar chord-change tables, and a GuitarStringPair-related representation, all consistent with those semantics.</w:t>
      </w:r>
    </w:p>
    <w:p>
      <w:pPr>
        <w:pStyle w:val="Heading1"/>
      </w:pPr>
      <w:r>
        <w:t>10. Dynamics / intensity / volume</w:t>
      </w:r>
    </w:p>
    <w:p>
      <w:r>
        <w:t>The creator cautioned that volume does not behave as a simple one-variable control. He identified master volume, per-instrument volume, per-track volume changes, and per-note intensity changes, and said even his own formula was not guaranteed to be perfectly understood.</w:t>
      </w:r>
    </w:p>
    <w:p>
      <w:r>
        <w:t>The current creator web application separately exposes intensity and track-volume information in its forensic/player view. This supports treating them as separate encoded signals rather than collapsing everything immediately into one MIDI velocity value.</w:t>
      </w:r>
    </w:p>
    <w:p>
      <w:pPr>
        <w:pStyle w:val="Heading1"/>
      </w:pPr>
      <w:r>
        <w:t>11. Current converter baselines</w:t>
      </w:r>
    </w:p>
    <w:tbl>
      <w:tblPr>
        <w:tblStyle w:val="TableGrid"/>
        <w:tblW w:type="auto" w:w="0"/>
        <w:jc w:val="center"/>
        <w:tblLook w:firstColumn="1" w:firstRow="1" w:lastColumn="0" w:lastRow="0" w:noHBand="0" w:noVBand="1" w:val="04A0"/>
      </w:tblPr>
      <w:tblGrid>
        <w:gridCol w:w="3408"/>
        <w:gridCol w:w="3408"/>
        <w:gridCol w:w="3408"/>
      </w:tblGrid>
      <w:tr>
        <w:tc>
          <w:tcPr>
            <w:tcW w:type="dxa" w:w="3408"/>
          </w:tcPr>
          <w:p>
            <w:r>
              <w:t>Topic</w:t>
            </w:r>
          </w:p>
        </w:tc>
        <w:tc>
          <w:tcPr>
            <w:tcW w:type="dxa" w:w="3408"/>
          </w:tcPr>
          <w:p>
            <w:r>
              <w:t>Current status</w:t>
            </w:r>
          </w:p>
        </w:tc>
        <w:tc>
          <w:tcPr>
            <w:tcW w:type="dxa" w:w="3408"/>
          </w:tcPr>
          <w:p>
            <w:r>
              <w:t>Confidence</w:t>
            </w:r>
          </w:p>
        </w:tc>
      </w:tr>
      <w:tr>
        <w:tc>
          <w:tcPr>
            <w:tcW w:type="dxa" w:w="3408"/>
            <w:vAlign w:val="center"/>
          </w:tcPr>
          <w:p>
            <w:r>
              <w:t>V11</w:t>
            </w:r>
          </w:p>
        </w:tc>
        <w:tc>
          <w:tcPr>
            <w:tcW w:type="dxa" w:w="3408"/>
            <w:vAlign w:val="center"/>
          </w:tcPr>
          <w:p>
            <w:r>
              <w:t>41/41 BBPs converted in the established BIG BATCH after the 0xEB native-original-guitar fix. Historical converter-output MIDIs are useful as regression artifacts.</w:t>
            </w:r>
          </w:p>
        </w:tc>
        <w:tc>
          <w:tcPr>
            <w:tcW w:type="dxa" w:w="3408"/>
            <w:vAlign w:val="center"/>
          </w:tcPr>
          <w:p>
            <w:r>
              <w:t>Confirmed</w:t>
            </w:r>
          </w:p>
        </w:tc>
      </w:tr>
      <w:tr>
        <w:tc>
          <w:tcPr>
            <w:tcW w:type="dxa" w:w="3408"/>
            <w:vAlign w:val="center"/>
          </w:tcPr>
          <w:p>
            <w:r>
              <w:t>V13</w:t>
            </w:r>
          </w:p>
        </w:tc>
        <w:tc>
          <w:tcPr>
            <w:tcW w:type="dxa" w:w="3408"/>
            <w:vAlign w:val="center"/>
          </w:tcPr>
          <w:p>
            <w:r>
              <w:t>Added output-file robustness for locked/permission-denied destinations.</w:t>
            </w:r>
          </w:p>
        </w:tc>
        <w:tc>
          <w:tcPr>
            <w:tcW w:type="dxa" w:w="3408"/>
            <w:vAlign w:val="center"/>
          </w:tcPr>
          <w:p>
            <w:r>
              <w:t>Confirmed</w:t>
            </w:r>
          </w:p>
        </w:tc>
      </w:tr>
      <w:tr>
        <w:tc>
          <w:tcPr>
            <w:tcW w:type="dxa" w:w="3408"/>
            <w:vAlign w:val="center"/>
          </w:tcPr>
          <w:p>
            <w:r>
              <w:t>V14</w:t>
            </w:r>
          </w:p>
        </w:tc>
        <w:tc>
          <w:tcPr>
            <w:tcW w:type="dxa" w:w="3408"/>
            <w:vAlign w:val="center"/>
          </w:tcPr>
          <w:p>
            <w:r>
              <w:t>Retained prior decoding and corrected drum handling; user hardware test confirmed audible drums.</w:t>
            </w:r>
          </w:p>
        </w:tc>
        <w:tc>
          <w:tcPr>
            <w:tcW w:type="dxa" w:w="3408"/>
            <w:vAlign w:val="center"/>
          </w:tcPr>
          <w:p>
            <w:r>
              <w:t>Confirmed for drums</w:t>
            </w:r>
          </w:p>
        </w:tc>
      </w:tr>
      <w:tr>
        <w:tc>
          <w:tcPr>
            <w:tcW w:type="dxa" w:w="3408"/>
            <w:vAlign w:val="center"/>
          </w:tcPr>
          <w:p>
            <w:r>
              <w:t>V15 candidate</w:t>
            </w:r>
          </w:p>
        </w:tc>
        <w:tc>
          <w:tcPr>
            <w:tcW w:type="dxa" w:w="3408"/>
            <w:vAlign w:val="center"/>
          </w:tcPr>
          <w:p>
            <w:r>
              <w:t>Explored an extended-piano-ID hypothesis. This interpretation is now rejected and should not be used as a development base.</w:t>
            </w:r>
          </w:p>
        </w:tc>
        <w:tc>
          <w:tcPr>
            <w:tcW w:type="dxa" w:w="3408"/>
            <w:vAlign w:val="center"/>
          </w:tcPr>
          <w:p>
            <w:r>
              <w:t>Rejected</w:t>
            </w:r>
          </w:p>
        </w:tc>
      </w:tr>
    </w:tbl>
    <w:p>
      <w:pPr>
        <w:pStyle w:val="Heading1"/>
      </w:pPr>
      <w:r>
        <w:t>12. Sound-coverage audit</w:t>
      </w:r>
    </w:p>
    <w:p>
      <w:r>
        <w:t>The audit goal is to detect information that is present in BBP but silently disappears before it becomes an actual audible MIDI event. Audit V1 was intentionally conservative but initially counted high-bit continuation values as unresolved piano IDs. Audit V2 corrected that classification.</w:t>
      </w:r>
    </w:p>
    <w:p>
      <w:r>
        <w:t>The desired mature audit will report, per channel and per instrument: encoded attacks, intentional holds/releases, resolved events, unresolved descriptors, invalid values, generated MIDI events, percussion triggers, and suspicious zero-velocity/zero-duration output. This is intended as a standing regression tool, not as proof of timbral identity.</w:t>
      </w:r>
    </w:p>
    <w:p>
      <w:pPr>
        <w:pStyle w:val="Heading1"/>
      </w:pPr>
      <w:r>
        <w:t>13. What has been corroborated independently</w:t>
      </w:r>
    </w:p>
    <w:p>
      <w:pPr>
        <w:pStyle w:val="ListBullet"/>
      </w:pPr>
      <w:r>
        <w:t>The BBP drum information exists and is recoverable; V14 can turn it into clearly audible percussion on the user's original 2DS playback comparison.</w:t>
      </w:r>
    </w:p>
    <w:p>
      <w:pPr>
        <w:pStyle w:val="ListBullet"/>
      </w:pPr>
      <w:r>
        <w:t>There are distinct piano and guitar descriptor structures in the BBP format rather than a single flat note table.</w:t>
      </w:r>
    </w:p>
    <w:p>
      <w:pPr>
        <w:pStyle w:val="ListBullet"/>
      </w:pPr>
      <w:r>
        <w:t>The creator's description of two piano flavors and three guitar flavors is consistent with the structural evidence in the older source and the additional machinery visible in BDX2BBP 1.0.2.</w:t>
      </w:r>
    </w:p>
    <w:p>
      <w:pPr>
        <w:pStyle w:val="ListBullet"/>
      </w:pPr>
      <w:r>
        <w:t>Converter-generated MIDIs should be treated as outputs/snapshots rather than independent references.</w:t>
      </w:r>
    </w:p>
    <w:p>
      <w:pPr>
        <w:pStyle w:val="ListBullet"/>
      </w:pPr>
      <w:r>
        <w:t>Output failures caused by a locked destination file are separate from BBP decoding failures.</w:t>
      </w:r>
    </w:p>
    <w:p>
      <w:pPr>
        <w:pStyle w:val="Heading1"/>
      </w:pPr>
      <w:r>
        <w:t>14. Current unresolved questions</w:t>
      </w:r>
    </w:p>
    <w:p>
      <w:pPr>
        <w:pStyle w:val="ListBullet"/>
      </w:pPr>
      <w:r>
        <w:t>Exact native-BBP generated-piano resolver: how the full (index, rawRoot) descriptor yields its four played notes, including voicing/register constraints.</w:t>
      </w:r>
    </w:p>
    <w:p>
      <w:pPr>
        <w:pStyle w:val="ListBullet"/>
      </w:pPr>
      <w:r>
        <w:t>Exact native-BBP literal-piano chord selection and how it is associated with the active descriptor/attack.</w:t>
      </w:r>
    </w:p>
    <w:p>
      <w:pPr>
        <w:pStyle w:val="ListBullet"/>
      </w:pPr>
      <w:r>
        <w:t>Full guitar generated-chord semantics.</w:t>
      </w:r>
    </w:p>
    <w:p>
      <w:pPr>
        <w:pStyle w:val="ListBullet"/>
      </w:pPr>
      <w:r>
        <w:t>Full six-literal-string interpretation, including silent strings.</w:t>
      </w:r>
    </w:p>
    <w:p>
      <w:pPr>
        <w:pStyle w:val="ListBullet"/>
      </w:pPr>
      <w:r>
        <w:t>Exact subset-string strum behavior, strum direction, and non-legato attack timing.</w:t>
      </w:r>
    </w:p>
    <w:p>
      <w:pPr>
        <w:pStyle w:val="ListBullet"/>
      </w:pPr>
      <w:r>
        <w:t>How all dynamic layers combine into audible loudness/velocity.</w:t>
      </w:r>
    </w:p>
    <w:p>
      <w:pPr>
        <w:pStyle w:val="ListBullet"/>
      </w:pPr>
      <w:r>
        <w:t>Whether there are additional sound-producing BBP encodings that the current audit does not yet classify.</w:t>
      </w:r>
    </w:p>
    <w:p>
      <w:pPr>
        <w:pStyle w:val="Heading1"/>
      </w:pPr>
      <w:r>
        <w:t>15. Why we are proceeding slowly</w:t>
      </w:r>
    </w:p>
    <w:p>
      <w:r>
        <w:t>The project has already demonstrated that technically plausible interpretations can be wrong while still producing valid MIDI. The piano V15 experiment is an example; the drum issue is another, where events existed structurally but the MIDI representation prevented reliable sound. For that reason, new decoding rules should not be promoted to release status until they are supported by source/binary evidence, repeated corpus behavior, and—where possible—original-hardware listening.</w:t>
      </w:r>
    </w:p>
    <w:p>
      <w:pPr>
        <w:pStyle w:val="Heading1"/>
      </w:pPr>
      <w:r>
        <w:t>16. Proposed validation protocol for future releases</w:t>
      </w:r>
    </w:p>
    <w:p>
      <w:pPr>
        <w:pStyle w:val="ListBullet"/>
      </w:pPr>
      <w:r>
        <w:t>Run the full existing BBP corpus as a regression set.</w:t>
      </w:r>
    </w:p>
    <w:p>
      <w:pPr>
        <w:pStyle w:val="ListBullet"/>
      </w:pPr>
      <w:r>
        <w:t>Run the sound-coverage audit and require zero unexplained dropped musical events where the format semantics are known.</w:t>
      </w:r>
    </w:p>
    <w:p>
      <w:pPr>
        <w:pStyle w:val="ListBullet"/>
      </w:pPr>
      <w:r>
        <w:t>Run targeted edge-case songs for any newly implemented piano/guitar/dynamics rule.</w:t>
      </w:r>
    </w:p>
    <w:p>
      <w:pPr>
        <w:pStyle w:val="ListBullet"/>
      </w:pPr>
      <w:r>
        <w:t>Inspect generated MIDI structure for audible-event validity (especially percussion channel handling, velocity, and suspicious note timing).</w:t>
      </w:r>
    </w:p>
    <w:p>
      <w:pPr>
        <w:pStyle w:val="ListBullet"/>
      </w:pPr>
      <w:r>
        <w:t>Use original Nintendo hardware listening when a hardware comparison is available.</w:t>
      </w:r>
    </w:p>
    <w:p>
      <w:pPr>
        <w:pStyle w:val="ListBullet"/>
      </w:pPr>
      <w:r>
        <w:t>Maintain a changelog that identifies the evidence behind every decoding change and marks hypotheses explicitly.</w:t>
      </w:r>
    </w:p>
    <w:p>
      <w:pPr>
        <w:pStyle w:val="Heading1"/>
      </w:pPr>
      <w:r>
        <w:t>17. Proposed future section: creator review</w:t>
      </w:r>
    </w:p>
    <w:p>
      <w:r>
        <w:t>At the end of the research cycle, this report should be shared with the Degausser creator with each material claim marked as Confirmed / Strongly Supported / Hypothesis / Rejected. The purpose will be to invite precise corrections of individual assumptions, especially around piano descriptor semantics, guitar string/strum behavior, and the dynamics stack.</w:t>
      </w:r>
    </w:p>
    <w:p>
      <w:pPr>
        <w:pStyle w:val="Heading1"/>
      </w:pPr>
      <w:r>
        <w:t>18. Source references</w:t>
      </w:r>
    </w:p>
    <w:p>
      <w:r>
        <w:t>Degausser source: https://github.com/AdibSurani/Degausser</w:t>
      </w:r>
    </w:p>
    <w:p>
      <w:r>
        <w:t>BBP/format structures: https://github.com/AdibSurani/Degausser/blob/master/src/BBPRecord.cs and related format classes.</w:t>
      </w:r>
    </w:p>
    <w:p>
      <w:r>
        <w:t>Creator's current BBP2MIDI web application: https://adib.fourplusfive.com/bbp2midi/v1.0/</w:t>
      </w:r>
    </w:p>
    <w:p>
      <w:r>
        <w:t>BDX2BBP 1.0.2 executable: user-supplied archive in the project Library.</w:t>
      </w:r>
    </w:p>
    <w:p>
      <w:r>
        <w:t>Note: this draft intentionally records evidence available during the current research stage. It is not a claim that the piano/guitar semantics are fully solved.</w:t>
      </w:r>
    </w:p>
    <w:sectPr w:rsidR="00FC693F" w:rsidRPr="0006063C" w:rsidSect="00034616">
      <w:footerReference w:type="default" r:id="rId9"/>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BBP → MIDI Reverse-Engineering Report — Working Draft</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color w:val="17365D" w:themeColor="text2" w:themeShade="B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